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A10" w:rsidRDefault="00072A10" w:rsidP="00072A10">
      <w:pPr>
        <w:jc w:val="center"/>
        <w:rPr>
          <w:b/>
          <w:caps/>
        </w:rPr>
      </w:pPr>
      <w:bookmarkStart w:id="0" w:name="_GoBack"/>
      <w:bookmarkEnd w:id="0"/>
      <w:r w:rsidRPr="00903CB0">
        <w:rPr>
          <w:b/>
          <w:caps/>
        </w:rPr>
        <w:t>Within Grade Increase (WGI) Guidance</w:t>
      </w:r>
    </w:p>
    <w:p w:rsidR="00044D29" w:rsidRPr="00903CB0" w:rsidRDefault="00044D29" w:rsidP="00072A10">
      <w:pPr>
        <w:jc w:val="center"/>
        <w:rPr>
          <w:b/>
          <w:caps/>
        </w:rPr>
      </w:pPr>
    </w:p>
    <w:p w:rsidR="00072A10" w:rsidRPr="00903CB0" w:rsidRDefault="00072A10" w:rsidP="00CC530B">
      <w:pPr>
        <w:rPr>
          <w:b/>
        </w:rPr>
      </w:pPr>
    </w:p>
    <w:p w:rsidR="00B033C9" w:rsidRPr="00EA23A9" w:rsidRDefault="008C6440" w:rsidP="00CC530B">
      <w:pPr>
        <w:rPr>
          <w:b/>
        </w:rPr>
      </w:pPr>
      <w:r w:rsidRPr="00EA23A9">
        <w:rPr>
          <w:b/>
          <w:u w:val="single"/>
        </w:rPr>
        <w:t xml:space="preserve">WGIs are based on </w:t>
      </w:r>
      <w:r w:rsidR="008E5BD4" w:rsidRPr="00EA23A9">
        <w:rPr>
          <w:b/>
          <w:u w:val="single"/>
        </w:rPr>
        <w:t>Rating of Record (</w:t>
      </w:r>
      <w:r w:rsidRPr="00EA23A9">
        <w:rPr>
          <w:b/>
          <w:u w:val="single"/>
        </w:rPr>
        <w:t>ROR</w:t>
      </w:r>
      <w:r w:rsidR="008E5BD4" w:rsidRPr="00EA23A9">
        <w:rPr>
          <w:b/>
          <w:u w:val="single"/>
        </w:rPr>
        <w:t>)</w:t>
      </w:r>
      <w:r w:rsidRPr="00EA23A9">
        <w:rPr>
          <w:b/>
          <w:u w:val="single"/>
        </w:rPr>
        <w:t xml:space="preserve"> and Current Performance as follows:</w:t>
      </w:r>
    </w:p>
    <w:p w:rsidR="005B1648" w:rsidRPr="00EA23A9" w:rsidRDefault="005B1648" w:rsidP="00CC530B"/>
    <w:p w:rsidR="00BB3D15" w:rsidRPr="00EA23A9" w:rsidRDefault="00BB3D15" w:rsidP="008C644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2"/>
        <w:gridCol w:w="1979"/>
        <w:gridCol w:w="2146"/>
        <w:gridCol w:w="1764"/>
        <w:gridCol w:w="1983"/>
      </w:tblGrid>
      <w:tr w:rsidR="001F66C4" w:rsidRPr="00EA23A9" w:rsidTr="00AC7B56">
        <w:tc>
          <w:tcPr>
            <w:tcW w:w="1992" w:type="dxa"/>
            <w:shd w:val="clear" w:color="auto" w:fill="auto"/>
          </w:tcPr>
          <w:p w:rsidR="001F66C4" w:rsidRPr="00EA23A9" w:rsidRDefault="001F66C4" w:rsidP="00AC7B56">
            <w:pPr>
              <w:jc w:val="center"/>
            </w:pPr>
            <w:r w:rsidRPr="00EA23A9">
              <w:t>Quarter(s)</w:t>
            </w:r>
          </w:p>
        </w:tc>
        <w:tc>
          <w:tcPr>
            <w:tcW w:w="1979" w:type="dxa"/>
            <w:shd w:val="clear" w:color="auto" w:fill="auto"/>
          </w:tcPr>
          <w:p w:rsidR="001F66C4" w:rsidRPr="00EA23A9" w:rsidRDefault="001F66C4" w:rsidP="00AC7B56">
            <w:pPr>
              <w:jc w:val="center"/>
            </w:pPr>
            <w:r w:rsidRPr="00EA23A9">
              <w:t>Last Rating of Record</w:t>
            </w:r>
          </w:p>
        </w:tc>
        <w:tc>
          <w:tcPr>
            <w:tcW w:w="2146" w:type="dxa"/>
            <w:shd w:val="clear" w:color="auto" w:fill="auto"/>
          </w:tcPr>
          <w:p w:rsidR="001F66C4" w:rsidRPr="00EA23A9" w:rsidRDefault="001F66C4" w:rsidP="00AC7B56">
            <w:pPr>
              <w:jc w:val="center"/>
            </w:pPr>
            <w:r w:rsidRPr="00EA23A9">
              <w:t>Current Performance</w:t>
            </w:r>
          </w:p>
        </w:tc>
        <w:tc>
          <w:tcPr>
            <w:tcW w:w="1764" w:type="dxa"/>
            <w:shd w:val="clear" w:color="auto" w:fill="auto"/>
          </w:tcPr>
          <w:p w:rsidR="001F66C4" w:rsidRPr="00EA23A9" w:rsidRDefault="001F66C4" w:rsidP="00AC7B56">
            <w:pPr>
              <w:jc w:val="center"/>
            </w:pPr>
            <w:r w:rsidRPr="00EA23A9">
              <w:t>Grant/Deny WGI</w:t>
            </w:r>
          </w:p>
        </w:tc>
        <w:tc>
          <w:tcPr>
            <w:tcW w:w="1983" w:type="dxa"/>
            <w:shd w:val="clear" w:color="auto" w:fill="auto"/>
          </w:tcPr>
          <w:p w:rsidR="001F66C4" w:rsidRPr="00EA23A9" w:rsidRDefault="00E012D3" w:rsidP="00AC7B56">
            <w:pPr>
              <w:jc w:val="center"/>
            </w:pPr>
            <w:r>
              <w:t xml:space="preserve">New </w:t>
            </w:r>
            <w:r w:rsidR="001F66C4" w:rsidRPr="00EA23A9">
              <w:t>Rating</w:t>
            </w:r>
            <w:r>
              <w:t xml:space="preserve"> of Record</w:t>
            </w:r>
            <w:r w:rsidR="001F66C4" w:rsidRPr="00EA23A9">
              <w:t xml:space="preserve"> (Y/N)</w:t>
            </w:r>
          </w:p>
        </w:tc>
      </w:tr>
      <w:tr w:rsidR="001F66C4" w:rsidRPr="00EA23A9" w:rsidTr="00AC7B56">
        <w:tc>
          <w:tcPr>
            <w:tcW w:w="1992" w:type="dxa"/>
            <w:shd w:val="clear" w:color="auto" w:fill="auto"/>
          </w:tcPr>
          <w:p w:rsidR="001F66C4" w:rsidRPr="00EA23A9" w:rsidRDefault="001F66C4" w:rsidP="00AC7B56">
            <w:pPr>
              <w:jc w:val="center"/>
            </w:pPr>
            <w:r w:rsidRPr="00EA23A9">
              <w:t>1</w:t>
            </w:r>
            <w:r w:rsidR="00B714D2" w:rsidRPr="00EA23A9">
              <w:t>*</w:t>
            </w:r>
          </w:p>
        </w:tc>
        <w:tc>
          <w:tcPr>
            <w:tcW w:w="1979" w:type="dxa"/>
            <w:shd w:val="clear" w:color="auto" w:fill="auto"/>
          </w:tcPr>
          <w:p w:rsidR="001F66C4" w:rsidRPr="00EA23A9" w:rsidRDefault="001F66C4" w:rsidP="00AC7B56">
            <w:pPr>
              <w:jc w:val="center"/>
            </w:pPr>
            <w:r w:rsidRPr="00EA23A9">
              <w:t>&lt;FS</w:t>
            </w:r>
          </w:p>
        </w:tc>
        <w:tc>
          <w:tcPr>
            <w:tcW w:w="2146" w:type="dxa"/>
            <w:shd w:val="clear" w:color="auto" w:fill="auto"/>
          </w:tcPr>
          <w:p w:rsidR="001F66C4" w:rsidRPr="00EA23A9" w:rsidRDefault="001F66C4" w:rsidP="00AC7B56">
            <w:pPr>
              <w:jc w:val="center"/>
            </w:pPr>
            <w:r w:rsidRPr="00EA23A9">
              <w:t>N/A</w:t>
            </w:r>
          </w:p>
        </w:tc>
        <w:tc>
          <w:tcPr>
            <w:tcW w:w="1764" w:type="dxa"/>
            <w:shd w:val="clear" w:color="auto" w:fill="auto"/>
          </w:tcPr>
          <w:p w:rsidR="001F66C4" w:rsidRPr="00EA23A9" w:rsidRDefault="001F66C4" w:rsidP="00AC7B56">
            <w:pPr>
              <w:jc w:val="center"/>
            </w:pPr>
            <w:r w:rsidRPr="00EA23A9">
              <w:t>Deny</w:t>
            </w:r>
          </w:p>
        </w:tc>
        <w:tc>
          <w:tcPr>
            <w:tcW w:w="1983" w:type="dxa"/>
            <w:shd w:val="clear" w:color="auto" w:fill="auto"/>
          </w:tcPr>
          <w:p w:rsidR="001F66C4" w:rsidRPr="00EA23A9" w:rsidRDefault="001F66C4" w:rsidP="00AC7B56">
            <w:pPr>
              <w:jc w:val="center"/>
            </w:pPr>
            <w:r w:rsidRPr="00EA23A9">
              <w:t>N</w:t>
            </w:r>
          </w:p>
        </w:tc>
      </w:tr>
      <w:tr w:rsidR="001F66C4" w:rsidRPr="00EA23A9" w:rsidTr="00AC7B56">
        <w:tc>
          <w:tcPr>
            <w:tcW w:w="1992" w:type="dxa"/>
            <w:shd w:val="clear" w:color="auto" w:fill="auto"/>
          </w:tcPr>
          <w:p w:rsidR="001F66C4" w:rsidRPr="00EA23A9" w:rsidRDefault="001F66C4" w:rsidP="00AC7B56">
            <w:pPr>
              <w:jc w:val="center"/>
            </w:pPr>
            <w:r w:rsidRPr="00EA23A9">
              <w:t>1</w:t>
            </w:r>
            <w:r w:rsidR="00B714D2" w:rsidRPr="00EA23A9">
              <w:t>*</w:t>
            </w:r>
          </w:p>
        </w:tc>
        <w:tc>
          <w:tcPr>
            <w:tcW w:w="1979" w:type="dxa"/>
            <w:shd w:val="clear" w:color="auto" w:fill="auto"/>
          </w:tcPr>
          <w:p w:rsidR="001F66C4" w:rsidRPr="00EA23A9" w:rsidRDefault="001F66C4" w:rsidP="00AC7B56">
            <w:pPr>
              <w:jc w:val="center"/>
            </w:pPr>
            <w:r w:rsidRPr="00EA23A9">
              <w:rPr>
                <w:u w:val="single"/>
              </w:rPr>
              <w:t xml:space="preserve">&gt; </w:t>
            </w:r>
            <w:r w:rsidRPr="00EA23A9">
              <w:t>FS</w:t>
            </w:r>
          </w:p>
        </w:tc>
        <w:tc>
          <w:tcPr>
            <w:tcW w:w="2146" w:type="dxa"/>
            <w:shd w:val="clear" w:color="auto" w:fill="auto"/>
          </w:tcPr>
          <w:p w:rsidR="001F66C4" w:rsidRPr="00EA23A9" w:rsidRDefault="001F66C4" w:rsidP="00AC7B56">
            <w:pPr>
              <w:jc w:val="center"/>
            </w:pPr>
            <w:r w:rsidRPr="00EA23A9">
              <w:t>N/A</w:t>
            </w:r>
          </w:p>
        </w:tc>
        <w:tc>
          <w:tcPr>
            <w:tcW w:w="1764" w:type="dxa"/>
            <w:shd w:val="clear" w:color="auto" w:fill="auto"/>
          </w:tcPr>
          <w:p w:rsidR="001F66C4" w:rsidRPr="00EA23A9" w:rsidRDefault="001F66C4" w:rsidP="00AC7B56">
            <w:pPr>
              <w:jc w:val="center"/>
            </w:pPr>
            <w:r w:rsidRPr="00EA23A9">
              <w:t>Grant</w:t>
            </w:r>
          </w:p>
        </w:tc>
        <w:tc>
          <w:tcPr>
            <w:tcW w:w="1983" w:type="dxa"/>
            <w:shd w:val="clear" w:color="auto" w:fill="auto"/>
          </w:tcPr>
          <w:p w:rsidR="001F66C4" w:rsidRPr="00EA23A9" w:rsidRDefault="001F66C4" w:rsidP="00AC7B56">
            <w:pPr>
              <w:jc w:val="center"/>
            </w:pPr>
            <w:r w:rsidRPr="00EA23A9">
              <w:t>N</w:t>
            </w:r>
          </w:p>
        </w:tc>
      </w:tr>
      <w:tr w:rsidR="001F66C4" w:rsidRPr="00EA23A9" w:rsidTr="00AC7B56">
        <w:tc>
          <w:tcPr>
            <w:tcW w:w="1992" w:type="dxa"/>
            <w:shd w:val="clear" w:color="auto" w:fill="auto"/>
          </w:tcPr>
          <w:p w:rsidR="001F66C4" w:rsidRPr="00EA23A9" w:rsidRDefault="001F66C4" w:rsidP="00AC7B56">
            <w:pPr>
              <w:jc w:val="center"/>
            </w:pPr>
            <w:r w:rsidRPr="00EA23A9">
              <w:t>2-4</w:t>
            </w:r>
            <w:r w:rsidR="00B714D2" w:rsidRPr="00EA23A9">
              <w:t>*</w:t>
            </w:r>
          </w:p>
        </w:tc>
        <w:tc>
          <w:tcPr>
            <w:tcW w:w="1979" w:type="dxa"/>
            <w:shd w:val="clear" w:color="auto" w:fill="auto"/>
          </w:tcPr>
          <w:p w:rsidR="001F66C4" w:rsidRPr="00EA23A9" w:rsidRDefault="001F66C4" w:rsidP="00AC7B56">
            <w:pPr>
              <w:jc w:val="center"/>
            </w:pPr>
            <w:r w:rsidRPr="00EA23A9">
              <w:t>&lt;FS</w:t>
            </w:r>
          </w:p>
        </w:tc>
        <w:tc>
          <w:tcPr>
            <w:tcW w:w="2146" w:type="dxa"/>
            <w:shd w:val="clear" w:color="auto" w:fill="auto"/>
          </w:tcPr>
          <w:p w:rsidR="001F66C4" w:rsidRPr="00EA23A9" w:rsidRDefault="001F66C4" w:rsidP="00AC7B56">
            <w:pPr>
              <w:jc w:val="center"/>
            </w:pPr>
            <w:r w:rsidRPr="00EA23A9">
              <w:t>&lt;FS</w:t>
            </w:r>
          </w:p>
        </w:tc>
        <w:tc>
          <w:tcPr>
            <w:tcW w:w="1764" w:type="dxa"/>
            <w:shd w:val="clear" w:color="auto" w:fill="auto"/>
          </w:tcPr>
          <w:p w:rsidR="001F66C4" w:rsidRPr="00EA23A9" w:rsidRDefault="001F66C4" w:rsidP="00AC7B56">
            <w:pPr>
              <w:jc w:val="center"/>
            </w:pPr>
            <w:r w:rsidRPr="00EA23A9">
              <w:t>Deny</w:t>
            </w:r>
          </w:p>
        </w:tc>
        <w:tc>
          <w:tcPr>
            <w:tcW w:w="1983" w:type="dxa"/>
            <w:shd w:val="clear" w:color="auto" w:fill="auto"/>
          </w:tcPr>
          <w:p w:rsidR="001F66C4" w:rsidRPr="00EA23A9" w:rsidRDefault="001F66C4" w:rsidP="00AC7B56">
            <w:pPr>
              <w:jc w:val="center"/>
            </w:pPr>
            <w:r w:rsidRPr="00EA23A9">
              <w:t>N</w:t>
            </w:r>
          </w:p>
        </w:tc>
      </w:tr>
      <w:tr w:rsidR="001F66C4" w:rsidRPr="00EA23A9" w:rsidTr="00AC7B56">
        <w:tc>
          <w:tcPr>
            <w:tcW w:w="1992" w:type="dxa"/>
            <w:shd w:val="clear" w:color="auto" w:fill="auto"/>
          </w:tcPr>
          <w:p w:rsidR="001F66C4" w:rsidRPr="00EA23A9" w:rsidRDefault="001F66C4" w:rsidP="00AC7B56">
            <w:pPr>
              <w:jc w:val="center"/>
            </w:pPr>
            <w:r w:rsidRPr="00EA23A9">
              <w:t>2-4</w:t>
            </w:r>
            <w:r w:rsidR="00B714D2" w:rsidRPr="00EA23A9">
              <w:t>*</w:t>
            </w:r>
          </w:p>
        </w:tc>
        <w:tc>
          <w:tcPr>
            <w:tcW w:w="1979" w:type="dxa"/>
            <w:shd w:val="clear" w:color="auto" w:fill="auto"/>
          </w:tcPr>
          <w:p w:rsidR="001F66C4" w:rsidRPr="00EA23A9" w:rsidRDefault="001F66C4" w:rsidP="00AC7B56">
            <w:pPr>
              <w:jc w:val="center"/>
            </w:pPr>
            <w:r w:rsidRPr="00EA23A9">
              <w:t>&lt;FS</w:t>
            </w:r>
          </w:p>
        </w:tc>
        <w:tc>
          <w:tcPr>
            <w:tcW w:w="2146" w:type="dxa"/>
            <w:shd w:val="clear" w:color="auto" w:fill="auto"/>
          </w:tcPr>
          <w:p w:rsidR="001F66C4" w:rsidRPr="00EA23A9" w:rsidRDefault="001F66C4" w:rsidP="00AC7B56">
            <w:pPr>
              <w:jc w:val="center"/>
            </w:pPr>
            <w:r w:rsidRPr="00EA23A9">
              <w:rPr>
                <w:u w:val="single"/>
              </w:rPr>
              <w:t xml:space="preserve">&gt; </w:t>
            </w:r>
            <w:r w:rsidRPr="00EA23A9">
              <w:t>FS</w:t>
            </w:r>
          </w:p>
        </w:tc>
        <w:tc>
          <w:tcPr>
            <w:tcW w:w="1764" w:type="dxa"/>
            <w:shd w:val="clear" w:color="auto" w:fill="auto"/>
          </w:tcPr>
          <w:p w:rsidR="001F66C4" w:rsidRPr="00EA23A9" w:rsidRDefault="001F66C4" w:rsidP="00AC7B56">
            <w:pPr>
              <w:jc w:val="center"/>
            </w:pPr>
            <w:r w:rsidRPr="00EA23A9">
              <w:t>Grant</w:t>
            </w:r>
          </w:p>
        </w:tc>
        <w:tc>
          <w:tcPr>
            <w:tcW w:w="1983" w:type="dxa"/>
            <w:shd w:val="clear" w:color="auto" w:fill="auto"/>
          </w:tcPr>
          <w:p w:rsidR="001F66C4" w:rsidRPr="00EA23A9" w:rsidRDefault="001F66C4" w:rsidP="00AC7B56">
            <w:pPr>
              <w:jc w:val="center"/>
            </w:pPr>
            <w:r w:rsidRPr="00EA23A9">
              <w:t>Y</w:t>
            </w:r>
          </w:p>
        </w:tc>
      </w:tr>
      <w:tr w:rsidR="001F66C4" w:rsidRPr="00EA23A9" w:rsidTr="00AC7B56">
        <w:tc>
          <w:tcPr>
            <w:tcW w:w="1992" w:type="dxa"/>
            <w:shd w:val="clear" w:color="auto" w:fill="auto"/>
          </w:tcPr>
          <w:p w:rsidR="001F66C4" w:rsidRPr="00EA23A9" w:rsidRDefault="001F66C4" w:rsidP="00AC7B56">
            <w:pPr>
              <w:jc w:val="center"/>
            </w:pPr>
            <w:r w:rsidRPr="00EA23A9">
              <w:t>2-4</w:t>
            </w:r>
            <w:r w:rsidR="00B714D2" w:rsidRPr="00EA23A9">
              <w:t>*</w:t>
            </w:r>
          </w:p>
        </w:tc>
        <w:tc>
          <w:tcPr>
            <w:tcW w:w="1979" w:type="dxa"/>
            <w:shd w:val="clear" w:color="auto" w:fill="auto"/>
          </w:tcPr>
          <w:p w:rsidR="001F66C4" w:rsidRPr="00EA23A9" w:rsidRDefault="001F66C4" w:rsidP="00AC7B56">
            <w:pPr>
              <w:jc w:val="center"/>
            </w:pPr>
            <w:r w:rsidRPr="00EA23A9">
              <w:rPr>
                <w:u w:val="single"/>
              </w:rPr>
              <w:t xml:space="preserve">&gt; </w:t>
            </w:r>
            <w:r w:rsidRPr="00EA23A9">
              <w:t>FS</w:t>
            </w:r>
          </w:p>
        </w:tc>
        <w:tc>
          <w:tcPr>
            <w:tcW w:w="2146" w:type="dxa"/>
            <w:shd w:val="clear" w:color="auto" w:fill="auto"/>
          </w:tcPr>
          <w:p w:rsidR="001F66C4" w:rsidRPr="00EA23A9" w:rsidRDefault="001F66C4" w:rsidP="00AC7B56">
            <w:pPr>
              <w:jc w:val="center"/>
            </w:pPr>
            <w:r w:rsidRPr="00EA23A9">
              <w:t>&lt;FS</w:t>
            </w:r>
          </w:p>
        </w:tc>
        <w:tc>
          <w:tcPr>
            <w:tcW w:w="1764" w:type="dxa"/>
            <w:shd w:val="clear" w:color="auto" w:fill="auto"/>
          </w:tcPr>
          <w:p w:rsidR="001F66C4" w:rsidRPr="00EA23A9" w:rsidRDefault="001F66C4" w:rsidP="00AC7B56">
            <w:pPr>
              <w:jc w:val="center"/>
            </w:pPr>
            <w:r w:rsidRPr="00EA23A9">
              <w:t>Deny</w:t>
            </w:r>
          </w:p>
        </w:tc>
        <w:tc>
          <w:tcPr>
            <w:tcW w:w="1983" w:type="dxa"/>
            <w:shd w:val="clear" w:color="auto" w:fill="auto"/>
          </w:tcPr>
          <w:p w:rsidR="001F66C4" w:rsidRPr="00EA23A9" w:rsidRDefault="001F66C4" w:rsidP="00AC7B56">
            <w:pPr>
              <w:jc w:val="center"/>
            </w:pPr>
            <w:r w:rsidRPr="00EA23A9">
              <w:t>Y</w:t>
            </w:r>
          </w:p>
        </w:tc>
      </w:tr>
      <w:tr w:rsidR="001F66C4" w:rsidRPr="00EA23A9" w:rsidTr="00AC7B56">
        <w:tc>
          <w:tcPr>
            <w:tcW w:w="1992" w:type="dxa"/>
            <w:shd w:val="clear" w:color="auto" w:fill="auto"/>
          </w:tcPr>
          <w:p w:rsidR="001F66C4" w:rsidRPr="00EA23A9" w:rsidRDefault="001F66C4" w:rsidP="00AC7B56">
            <w:pPr>
              <w:jc w:val="center"/>
            </w:pPr>
            <w:r w:rsidRPr="00EA23A9">
              <w:t>2-4</w:t>
            </w:r>
            <w:r w:rsidR="00B714D2" w:rsidRPr="00EA23A9">
              <w:t>*</w:t>
            </w:r>
          </w:p>
        </w:tc>
        <w:tc>
          <w:tcPr>
            <w:tcW w:w="1979" w:type="dxa"/>
            <w:shd w:val="clear" w:color="auto" w:fill="auto"/>
          </w:tcPr>
          <w:p w:rsidR="001F66C4" w:rsidRPr="00EA23A9" w:rsidRDefault="001F66C4" w:rsidP="00AC7B56">
            <w:pPr>
              <w:jc w:val="center"/>
            </w:pPr>
            <w:r w:rsidRPr="00EA23A9">
              <w:rPr>
                <w:u w:val="single"/>
              </w:rPr>
              <w:t xml:space="preserve">&gt; </w:t>
            </w:r>
            <w:r w:rsidRPr="00EA23A9">
              <w:t>FS</w:t>
            </w:r>
          </w:p>
        </w:tc>
        <w:tc>
          <w:tcPr>
            <w:tcW w:w="2146" w:type="dxa"/>
            <w:shd w:val="clear" w:color="auto" w:fill="auto"/>
          </w:tcPr>
          <w:p w:rsidR="001F66C4" w:rsidRPr="00EA23A9" w:rsidRDefault="001F66C4" w:rsidP="00AC7B56">
            <w:pPr>
              <w:jc w:val="center"/>
            </w:pPr>
            <w:r w:rsidRPr="00EA23A9">
              <w:rPr>
                <w:u w:val="single"/>
              </w:rPr>
              <w:t xml:space="preserve">&gt; </w:t>
            </w:r>
            <w:r w:rsidRPr="00EA23A9">
              <w:t>FS</w:t>
            </w:r>
          </w:p>
        </w:tc>
        <w:tc>
          <w:tcPr>
            <w:tcW w:w="1764" w:type="dxa"/>
            <w:shd w:val="clear" w:color="auto" w:fill="auto"/>
          </w:tcPr>
          <w:p w:rsidR="001F66C4" w:rsidRPr="00EA23A9" w:rsidRDefault="001F66C4" w:rsidP="00AC7B56">
            <w:pPr>
              <w:jc w:val="center"/>
            </w:pPr>
            <w:r w:rsidRPr="00EA23A9">
              <w:t>Grant</w:t>
            </w:r>
          </w:p>
        </w:tc>
        <w:tc>
          <w:tcPr>
            <w:tcW w:w="1983" w:type="dxa"/>
            <w:shd w:val="clear" w:color="auto" w:fill="auto"/>
          </w:tcPr>
          <w:p w:rsidR="001F66C4" w:rsidRPr="00EA23A9" w:rsidRDefault="001F66C4" w:rsidP="00AC7B56">
            <w:pPr>
              <w:jc w:val="center"/>
            </w:pPr>
            <w:r w:rsidRPr="00EA23A9">
              <w:t>N</w:t>
            </w:r>
          </w:p>
        </w:tc>
      </w:tr>
    </w:tbl>
    <w:p w:rsidR="00BB3D15" w:rsidRPr="00EA23A9" w:rsidRDefault="00B714D2" w:rsidP="008C6440">
      <w:r w:rsidRPr="00EA23A9">
        <w:t xml:space="preserve">* </w:t>
      </w:r>
      <w:r w:rsidRPr="000606AC">
        <w:t>Use first quarter process for any WGI decision within the first 90 days of the fiscal year.</w:t>
      </w:r>
    </w:p>
    <w:p w:rsidR="00BB3D15" w:rsidRPr="00EA23A9" w:rsidRDefault="00BB3D15" w:rsidP="008C6440"/>
    <w:p w:rsidR="00B714D2" w:rsidRPr="00EA23A9" w:rsidRDefault="00B714D2" w:rsidP="008C6440"/>
    <w:p w:rsidR="00044D29" w:rsidRPr="00EA23A9" w:rsidRDefault="008C6440" w:rsidP="008C6440">
      <w:r w:rsidRPr="00EA23A9">
        <w:t>If the WGI is due in quarter 1,</w:t>
      </w:r>
      <w:r w:rsidR="00DE068C" w:rsidRPr="00EA23A9">
        <w:t xml:space="preserve"> </w:t>
      </w:r>
      <w:r w:rsidR="00B714D2" w:rsidRPr="000606AC">
        <w:rPr>
          <w:u w:val="single"/>
        </w:rPr>
        <w:t>or</w:t>
      </w:r>
      <w:r w:rsidR="00DE068C" w:rsidRPr="00EA23A9">
        <w:t xml:space="preserve"> less than 90 days have passed from the start of the fiscal year,</w:t>
      </w:r>
      <w:r w:rsidRPr="00EA23A9">
        <w:t xml:space="preserve"> the WGI will be granted/denied based on the </w:t>
      </w:r>
      <w:r w:rsidRPr="00EA23A9">
        <w:rPr>
          <w:b/>
        </w:rPr>
        <w:t>last FY’s rating</w:t>
      </w:r>
      <w:r w:rsidRPr="00EA23A9">
        <w:t xml:space="preserve"> (the rating of record or ROR). </w:t>
      </w:r>
    </w:p>
    <w:p w:rsidR="00DB17BF" w:rsidRPr="00EA23A9" w:rsidRDefault="008C6440" w:rsidP="00816246">
      <w:pPr>
        <w:numPr>
          <w:ilvl w:val="0"/>
          <w:numId w:val="17"/>
        </w:numPr>
      </w:pPr>
      <w:r w:rsidRPr="00EA23A9">
        <w:t xml:space="preserve">If a ROR </w:t>
      </w:r>
      <w:r w:rsidR="00DB17BF" w:rsidRPr="00EA23A9">
        <w:t xml:space="preserve">is </w:t>
      </w:r>
      <w:r w:rsidRPr="00EA23A9">
        <w:t xml:space="preserve">less than FS for the previous FY, </w:t>
      </w:r>
      <w:r w:rsidRPr="00EA23A9">
        <w:rPr>
          <w:b/>
        </w:rPr>
        <w:t>deny</w:t>
      </w:r>
      <w:r w:rsidRPr="00EA23A9">
        <w:t xml:space="preserve"> the WGI.  </w:t>
      </w:r>
    </w:p>
    <w:p w:rsidR="008E5BD4" w:rsidRPr="00EA23A9" w:rsidRDefault="008C6440" w:rsidP="00816246">
      <w:pPr>
        <w:numPr>
          <w:ilvl w:val="0"/>
          <w:numId w:val="17"/>
        </w:numPr>
      </w:pPr>
      <w:r w:rsidRPr="00EA23A9">
        <w:t>If a ROR</w:t>
      </w:r>
      <w:r w:rsidR="00DB17BF" w:rsidRPr="00EA23A9">
        <w:t xml:space="preserve"> is</w:t>
      </w:r>
      <w:r w:rsidRPr="00EA23A9">
        <w:t xml:space="preserve"> FS </w:t>
      </w:r>
      <w:r w:rsidR="00DB17BF" w:rsidRPr="00EA23A9">
        <w:t xml:space="preserve">or higher </w:t>
      </w:r>
      <w:r w:rsidRPr="00EA23A9">
        <w:t xml:space="preserve">for the previous FY, </w:t>
      </w:r>
      <w:r w:rsidR="00DB17BF" w:rsidRPr="00EA23A9">
        <w:rPr>
          <w:b/>
        </w:rPr>
        <w:t>grant</w:t>
      </w:r>
      <w:r w:rsidRPr="00EA23A9">
        <w:t xml:space="preserve"> the WGI</w:t>
      </w:r>
      <w:r w:rsidR="009D299B" w:rsidRPr="00EA23A9">
        <w:t xml:space="preserve"> even if current FY performance-to-</w:t>
      </w:r>
      <w:r w:rsidR="00DB17BF" w:rsidRPr="00EA23A9">
        <w:t>date is less than FS</w:t>
      </w:r>
      <w:r w:rsidRPr="00EA23A9">
        <w:t xml:space="preserve">.  </w:t>
      </w:r>
    </w:p>
    <w:p w:rsidR="008C6440" w:rsidRPr="00EA23A9" w:rsidRDefault="003765B0" w:rsidP="00816246">
      <w:pPr>
        <w:numPr>
          <w:ilvl w:val="0"/>
          <w:numId w:val="17"/>
        </w:numPr>
      </w:pPr>
      <w:r w:rsidRPr="00EA23A9">
        <w:t>Supervisors</w:t>
      </w:r>
      <w:r w:rsidR="00DB17BF" w:rsidRPr="00EA23A9">
        <w:t xml:space="preserve"> are</w:t>
      </w:r>
      <w:r w:rsidR="008C6440" w:rsidRPr="00EA23A9">
        <w:t xml:space="preserve"> not able to do a </w:t>
      </w:r>
      <w:r w:rsidR="00B714D2" w:rsidRPr="00EA23A9">
        <w:t>new</w:t>
      </w:r>
      <w:r w:rsidR="008C6440" w:rsidRPr="00EA23A9">
        <w:t xml:space="preserve"> rating</w:t>
      </w:r>
      <w:r w:rsidR="00B714D2" w:rsidRPr="00EA23A9">
        <w:t xml:space="preserve"> of record</w:t>
      </w:r>
      <w:r w:rsidR="008C6440" w:rsidRPr="00EA23A9">
        <w:t xml:space="preserve"> to grant/deny a WGI </w:t>
      </w:r>
      <w:r w:rsidR="00DE068C" w:rsidRPr="00EA23A9">
        <w:t xml:space="preserve">if </w:t>
      </w:r>
      <w:r w:rsidR="005D72DB" w:rsidRPr="00EA23A9">
        <w:t xml:space="preserve">it is </w:t>
      </w:r>
      <w:r w:rsidR="00DE068C" w:rsidRPr="00EA23A9">
        <w:t xml:space="preserve">less than 90 days from the start of </w:t>
      </w:r>
      <w:r w:rsidR="008C6440" w:rsidRPr="00EA23A9">
        <w:t xml:space="preserve">the </w:t>
      </w:r>
      <w:r w:rsidR="005D72DB" w:rsidRPr="00EA23A9">
        <w:t>fiscal year</w:t>
      </w:r>
      <w:r w:rsidR="008C6440" w:rsidRPr="00EA23A9">
        <w:t xml:space="preserve">.  </w:t>
      </w:r>
    </w:p>
    <w:p w:rsidR="003765B0" w:rsidRPr="00EA23A9" w:rsidRDefault="003765B0" w:rsidP="00816246">
      <w:pPr>
        <w:numPr>
          <w:ilvl w:val="0"/>
          <w:numId w:val="17"/>
        </w:numPr>
      </w:pPr>
      <w:r w:rsidRPr="00EA23A9">
        <w:t xml:space="preserve">Return the HR standard form acknowledging approval/denial of the WGI as close to the WGI date as possible.  </w:t>
      </w:r>
    </w:p>
    <w:p w:rsidR="008C6440" w:rsidRPr="00EA23A9" w:rsidRDefault="008C6440" w:rsidP="00816246"/>
    <w:p w:rsidR="008C6440" w:rsidRPr="00EA23A9" w:rsidRDefault="00DB17BF" w:rsidP="00816246">
      <w:r w:rsidRPr="00EA23A9">
        <w:t>In quarters 2-4</w:t>
      </w:r>
      <w:r w:rsidR="00B714D2" w:rsidRPr="00EA23A9">
        <w:t xml:space="preserve"> </w:t>
      </w:r>
      <w:r w:rsidR="00B714D2" w:rsidRPr="000606AC">
        <w:rPr>
          <w:u w:val="single"/>
        </w:rPr>
        <w:t>and</w:t>
      </w:r>
      <w:r w:rsidR="00B714D2" w:rsidRPr="000606AC">
        <w:t xml:space="preserve"> if 90 days or more have passed in the fiscal year</w:t>
      </w:r>
      <w:r w:rsidR="009D0232" w:rsidRPr="000606AC">
        <w:t>,</w:t>
      </w:r>
      <w:r w:rsidR="00DE068C" w:rsidRPr="00EA23A9">
        <w:t xml:space="preserve"> </w:t>
      </w:r>
      <w:r w:rsidRPr="00EA23A9">
        <w:t>i</w:t>
      </w:r>
      <w:r w:rsidR="008C6440" w:rsidRPr="00EA23A9">
        <w:t>f the e</w:t>
      </w:r>
      <w:r w:rsidR="005937EB" w:rsidRPr="00EA23A9">
        <w:t>xaminer</w:t>
      </w:r>
      <w:r w:rsidR="005B1648" w:rsidRPr="00EA23A9">
        <w:t xml:space="preserve">’s last </w:t>
      </w:r>
      <w:r w:rsidR="00903CB0" w:rsidRPr="00EA23A9">
        <w:rPr>
          <w:b/>
        </w:rPr>
        <w:t>ROR</w:t>
      </w:r>
      <w:r w:rsidR="005937EB" w:rsidRPr="00EA23A9">
        <w:rPr>
          <w:b/>
        </w:rPr>
        <w:t xml:space="preserve"> </w:t>
      </w:r>
      <w:r w:rsidR="005937EB" w:rsidRPr="00EA23A9">
        <w:t>is</w:t>
      </w:r>
      <w:r w:rsidR="005937EB" w:rsidRPr="00EA23A9">
        <w:rPr>
          <w:b/>
        </w:rPr>
        <w:t xml:space="preserve"> </w:t>
      </w:r>
      <w:r w:rsidR="005B1648" w:rsidRPr="00EA23A9">
        <w:rPr>
          <w:b/>
        </w:rPr>
        <w:t xml:space="preserve">less than </w:t>
      </w:r>
      <w:r w:rsidR="00CC43CB" w:rsidRPr="00EA23A9">
        <w:rPr>
          <w:b/>
        </w:rPr>
        <w:t>Fully Successful (</w:t>
      </w:r>
      <w:r w:rsidR="005937EB" w:rsidRPr="00EA23A9">
        <w:rPr>
          <w:b/>
        </w:rPr>
        <w:t>FS</w:t>
      </w:r>
      <w:r w:rsidR="00CC43CB" w:rsidRPr="00EA23A9">
        <w:rPr>
          <w:b/>
        </w:rPr>
        <w:t>)</w:t>
      </w:r>
      <w:r w:rsidR="005B1648" w:rsidRPr="00EA23A9">
        <w:t xml:space="preserve"> </w:t>
      </w:r>
      <w:r w:rsidR="005B1648" w:rsidRPr="00EA23A9">
        <w:rPr>
          <w:b/>
          <w:u w:val="single"/>
        </w:rPr>
        <w:t>and</w:t>
      </w:r>
      <w:r w:rsidR="005B1648" w:rsidRPr="00EA23A9">
        <w:t xml:space="preserve"> the examiner’s </w:t>
      </w:r>
      <w:r w:rsidR="005B1648" w:rsidRPr="00EA23A9">
        <w:rPr>
          <w:b/>
        </w:rPr>
        <w:t>current</w:t>
      </w:r>
      <w:r w:rsidR="005B1648" w:rsidRPr="00EA23A9">
        <w:t xml:space="preserve"> </w:t>
      </w:r>
      <w:r w:rsidR="005B1648" w:rsidRPr="00EA23A9">
        <w:rPr>
          <w:b/>
        </w:rPr>
        <w:t>performance</w:t>
      </w:r>
      <w:r w:rsidR="005B1648" w:rsidRPr="00EA23A9">
        <w:t xml:space="preserve"> from the start of the</w:t>
      </w:r>
      <w:r w:rsidR="008C6440" w:rsidRPr="00EA23A9">
        <w:t xml:space="preserve"> current</w:t>
      </w:r>
      <w:r w:rsidR="005B1648" w:rsidRPr="00EA23A9">
        <w:t xml:space="preserve"> fiscal year t</w:t>
      </w:r>
      <w:r w:rsidR="00684361">
        <w:t>hr</w:t>
      </w:r>
      <w:r w:rsidR="005B1648" w:rsidRPr="00EA23A9">
        <w:t>o</w:t>
      </w:r>
      <w:r w:rsidR="00684361">
        <w:t>ugh</w:t>
      </w:r>
      <w:r w:rsidR="005B1648" w:rsidRPr="00EA23A9">
        <w:t xml:space="preserve"> the </w:t>
      </w:r>
      <w:r w:rsidR="00684361">
        <w:t xml:space="preserve">end of the </w:t>
      </w:r>
      <w:r w:rsidR="005B1648" w:rsidRPr="00EA23A9">
        <w:t xml:space="preserve">biweek prior to when the WGI is due is also </w:t>
      </w:r>
      <w:r w:rsidR="005B1648" w:rsidRPr="00EA23A9">
        <w:rPr>
          <w:b/>
        </w:rPr>
        <w:t>less than FS</w:t>
      </w:r>
      <w:r w:rsidR="005B1648" w:rsidRPr="00EA23A9">
        <w:t xml:space="preserve"> in any critical element</w:t>
      </w:r>
      <w:r w:rsidR="008C6440" w:rsidRPr="00EA23A9">
        <w:t xml:space="preserve">, the WGI should be </w:t>
      </w:r>
      <w:r w:rsidR="008C6440" w:rsidRPr="00EA23A9">
        <w:rPr>
          <w:b/>
        </w:rPr>
        <w:t>denied</w:t>
      </w:r>
      <w:r w:rsidR="005B1648" w:rsidRPr="00EA23A9">
        <w:t>.</w:t>
      </w:r>
      <w:r w:rsidR="00AE372C" w:rsidRPr="00EA23A9">
        <w:t xml:space="preserve">  </w:t>
      </w:r>
      <w:r w:rsidR="003765B0" w:rsidRPr="00EA23A9">
        <w:t xml:space="preserve">Return the HR standard form acknowledging denial of the WGI as close to the WGI date as possible.  </w:t>
      </w:r>
      <w:r w:rsidR="008E5BD4" w:rsidRPr="00EA23A9">
        <w:t xml:space="preserve">No </w:t>
      </w:r>
      <w:r w:rsidR="00B714D2" w:rsidRPr="00EA23A9">
        <w:t>new</w:t>
      </w:r>
      <w:r w:rsidR="008E5BD4" w:rsidRPr="00EA23A9">
        <w:t xml:space="preserve"> rating is needed in this </w:t>
      </w:r>
      <w:r w:rsidR="00781B88" w:rsidRPr="00EA23A9">
        <w:t>situation;</w:t>
      </w:r>
      <w:r w:rsidR="00556F24" w:rsidRPr="00EA23A9">
        <w:t xml:space="preserve"> however, an SF-52 denying the WGI will need to be forwarded to ER</w:t>
      </w:r>
      <w:r w:rsidR="008E5BD4" w:rsidRPr="00EA23A9">
        <w:t>.</w:t>
      </w:r>
    </w:p>
    <w:p w:rsidR="00C67FEE" w:rsidRPr="00EA23A9" w:rsidRDefault="00C67FEE" w:rsidP="00816246"/>
    <w:p w:rsidR="00C67FEE" w:rsidRPr="00EA23A9" w:rsidRDefault="00C67FEE" w:rsidP="00816246">
      <w:r w:rsidRPr="00EA23A9">
        <w:t>In quarters 2-4</w:t>
      </w:r>
      <w:r w:rsidR="00B714D2" w:rsidRPr="00EA23A9">
        <w:t xml:space="preserve"> </w:t>
      </w:r>
      <w:r w:rsidR="00B714D2" w:rsidRPr="000606AC">
        <w:rPr>
          <w:u w:val="single"/>
        </w:rPr>
        <w:t>and</w:t>
      </w:r>
      <w:r w:rsidR="00B714D2" w:rsidRPr="000606AC">
        <w:t xml:space="preserve"> if 90 days or more has passed in the fiscal year</w:t>
      </w:r>
      <w:r w:rsidRPr="00EA23A9">
        <w:t>,</w:t>
      </w:r>
      <w:r w:rsidR="00DE068C" w:rsidRPr="00EA23A9">
        <w:t xml:space="preserve"> </w:t>
      </w:r>
      <w:r w:rsidRPr="00EA23A9">
        <w:t xml:space="preserve">if the examiner’s last </w:t>
      </w:r>
      <w:r w:rsidRPr="00EA23A9">
        <w:rPr>
          <w:b/>
        </w:rPr>
        <w:t xml:space="preserve">ROR </w:t>
      </w:r>
      <w:r w:rsidRPr="00EA23A9">
        <w:t>is</w:t>
      </w:r>
      <w:r w:rsidRPr="00EA23A9">
        <w:rPr>
          <w:b/>
        </w:rPr>
        <w:t xml:space="preserve"> less than FS</w:t>
      </w:r>
      <w:r w:rsidRPr="00EA23A9">
        <w:t xml:space="preserve"> </w:t>
      </w:r>
      <w:r w:rsidRPr="00EA23A9">
        <w:rPr>
          <w:b/>
          <w:u w:val="single"/>
        </w:rPr>
        <w:t>and</w:t>
      </w:r>
      <w:r w:rsidRPr="00EA23A9">
        <w:t xml:space="preserve"> the examiner’s </w:t>
      </w:r>
      <w:r w:rsidRPr="00EA23A9">
        <w:rPr>
          <w:b/>
        </w:rPr>
        <w:t>current</w:t>
      </w:r>
      <w:r w:rsidRPr="00EA23A9">
        <w:t xml:space="preserve"> </w:t>
      </w:r>
      <w:r w:rsidRPr="00EA23A9">
        <w:rPr>
          <w:b/>
        </w:rPr>
        <w:t>performance</w:t>
      </w:r>
      <w:r w:rsidRPr="00EA23A9">
        <w:t xml:space="preserve"> from the start of the current fiscal year to the biweek prior to when the WGI is due is </w:t>
      </w:r>
      <w:r w:rsidRPr="00EA23A9">
        <w:rPr>
          <w:b/>
        </w:rPr>
        <w:t>FS or higher</w:t>
      </w:r>
      <w:r w:rsidRPr="00EA23A9">
        <w:t xml:space="preserve"> in all critical elements, the WGI should be </w:t>
      </w:r>
      <w:r w:rsidRPr="00EA23A9">
        <w:rPr>
          <w:b/>
        </w:rPr>
        <w:t>granted</w:t>
      </w:r>
      <w:r w:rsidRPr="00EA23A9">
        <w:t xml:space="preserve">.  </w:t>
      </w:r>
      <w:r w:rsidR="003765B0" w:rsidRPr="00EA23A9">
        <w:t xml:space="preserve">Return the HR standard form acknowledging approval of the WGI as close to the WGI date as possible.  </w:t>
      </w:r>
      <w:r w:rsidR="008E5BD4" w:rsidRPr="00EA23A9">
        <w:t>The supervisor</w:t>
      </w:r>
      <w:r w:rsidRPr="00EA23A9">
        <w:t xml:space="preserve"> will need to </w:t>
      </w:r>
      <w:r w:rsidR="00E012D3">
        <w:t xml:space="preserve">create a </w:t>
      </w:r>
      <w:r w:rsidR="00E012D3">
        <w:rPr>
          <w:b/>
        </w:rPr>
        <w:t>new rating of record</w:t>
      </w:r>
      <w:r w:rsidRPr="00EA23A9">
        <w:t xml:space="preserve"> </w:t>
      </w:r>
      <w:r w:rsidR="00556F24" w:rsidRPr="00EA23A9">
        <w:t xml:space="preserve">and an SF-52 </w:t>
      </w:r>
      <w:r w:rsidRPr="00EA23A9">
        <w:t>in order to grant the WGI in this situation.</w:t>
      </w:r>
    </w:p>
    <w:p w:rsidR="008C6440" w:rsidRPr="00EA23A9" w:rsidRDefault="008C6440" w:rsidP="00816246"/>
    <w:p w:rsidR="002673DC" w:rsidRPr="00EA23A9" w:rsidRDefault="00DB17BF" w:rsidP="009D299B">
      <w:r w:rsidRPr="00EA23A9">
        <w:t>In quarters 2-</w:t>
      </w:r>
      <w:r w:rsidR="003C33BB" w:rsidRPr="00EA23A9">
        <w:t>4</w:t>
      </w:r>
      <w:r w:rsidR="00C07DD1" w:rsidRPr="00EA23A9">
        <w:t xml:space="preserve"> </w:t>
      </w:r>
      <w:r w:rsidR="00C07DD1" w:rsidRPr="000606AC">
        <w:rPr>
          <w:u w:val="single"/>
        </w:rPr>
        <w:t>and</w:t>
      </w:r>
      <w:r w:rsidR="00C07DD1" w:rsidRPr="000606AC">
        <w:t xml:space="preserve"> if 90 days or more has passed in the fiscal year</w:t>
      </w:r>
      <w:r w:rsidRPr="00EA23A9">
        <w:t>,</w:t>
      </w:r>
      <w:r w:rsidR="00DE068C" w:rsidRPr="00EA23A9">
        <w:t xml:space="preserve"> </w:t>
      </w:r>
      <w:r w:rsidRPr="00EA23A9">
        <w:t xml:space="preserve">if </w:t>
      </w:r>
      <w:r w:rsidR="008C6440" w:rsidRPr="00EA23A9">
        <w:t xml:space="preserve">the examiner’s last </w:t>
      </w:r>
      <w:r w:rsidR="008C6440" w:rsidRPr="00EA23A9">
        <w:rPr>
          <w:b/>
        </w:rPr>
        <w:t>ROR is FS</w:t>
      </w:r>
      <w:r w:rsidR="008C6440" w:rsidRPr="00EA23A9">
        <w:t xml:space="preserve"> or higher </w:t>
      </w:r>
      <w:r w:rsidR="003C33BB" w:rsidRPr="00EA23A9">
        <w:t xml:space="preserve">but </w:t>
      </w:r>
      <w:r w:rsidR="008C6440" w:rsidRPr="00EA23A9">
        <w:t xml:space="preserve">the examiner’s </w:t>
      </w:r>
      <w:r w:rsidR="008C6440" w:rsidRPr="00EA23A9">
        <w:rPr>
          <w:b/>
        </w:rPr>
        <w:t>current</w:t>
      </w:r>
      <w:r w:rsidR="008C6440" w:rsidRPr="00EA23A9">
        <w:t xml:space="preserve"> </w:t>
      </w:r>
      <w:r w:rsidR="008C6440" w:rsidRPr="00EA23A9">
        <w:rPr>
          <w:b/>
        </w:rPr>
        <w:t>performance</w:t>
      </w:r>
      <w:r w:rsidR="008C6440" w:rsidRPr="00EA23A9">
        <w:t xml:space="preserve"> from the start of the current fiscal year t</w:t>
      </w:r>
      <w:r w:rsidR="00684361">
        <w:t>hrough the end of</w:t>
      </w:r>
      <w:r w:rsidR="008C6440" w:rsidRPr="00EA23A9">
        <w:t xml:space="preserve"> the biweek prior to when the WGI is due is </w:t>
      </w:r>
      <w:r w:rsidR="008C6440" w:rsidRPr="00EA23A9">
        <w:rPr>
          <w:b/>
        </w:rPr>
        <w:t>less than FS</w:t>
      </w:r>
      <w:r w:rsidR="008C6440" w:rsidRPr="00EA23A9">
        <w:t xml:space="preserve"> in any critical element, the WGI should be </w:t>
      </w:r>
      <w:r w:rsidR="008C6440" w:rsidRPr="00EA23A9">
        <w:rPr>
          <w:b/>
        </w:rPr>
        <w:t>denied</w:t>
      </w:r>
      <w:r w:rsidR="008C6440" w:rsidRPr="00EA23A9">
        <w:t xml:space="preserve">.  </w:t>
      </w:r>
      <w:r w:rsidR="003765B0" w:rsidRPr="00EA23A9">
        <w:t xml:space="preserve">Return the HR standard form acknowledging denial of the WGI as </w:t>
      </w:r>
      <w:r w:rsidR="003765B0" w:rsidRPr="00EA23A9">
        <w:lastRenderedPageBreak/>
        <w:t xml:space="preserve">close to the WGI date as possible.  </w:t>
      </w:r>
      <w:r w:rsidR="008E5BD4" w:rsidRPr="00EA23A9">
        <w:t>The supervisor</w:t>
      </w:r>
      <w:r w:rsidR="008C6440" w:rsidRPr="00EA23A9">
        <w:t xml:space="preserve"> will need to do a </w:t>
      </w:r>
      <w:r w:rsidR="00C07DD1" w:rsidRPr="00EA23A9">
        <w:rPr>
          <w:b/>
          <w:u w:val="single"/>
        </w:rPr>
        <w:t>new rating of record</w:t>
      </w:r>
      <w:r w:rsidR="008C6440" w:rsidRPr="00EA23A9">
        <w:t xml:space="preserve"> </w:t>
      </w:r>
      <w:r w:rsidR="00556F24" w:rsidRPr="00EA23A9">
        <w:t xml:space="preserve">and an SF-52 </w:t>
      </w:r>
      <w:r w:rsidR="008C6440" w:rsidRPr="00EA23A9">
        <w:t>in order to deny the W</w:t>
      </w:r>
      <w:r w:rsidR="00103454" w:rsidRPr="00EA23A9">
        <w:t>GI in this situation.</w:t>
      </w:r>
    </w:p>
    <w:p w:rsidR="002673DC" w:rsidRPr="00EA23A9" w:rsidRDefault="002673DC" w:rsidP="009D299B"/>
    <w:p w:rsidR="002673DC" w:rsidRPr="00EA23A9" w:rsidRDefault="002673DC" w:rsidP="009D299B">
      <w:r w:rsidRPr="00EA23A9">
        <w:t>In quarters 2-</w:t>
      </w:r>
      <w:r w:rsidR="003C33BB" w:rsidRPr="000606AC">
        <w:t>4</w:t>
      </w:r>
      <w:r w:rsidR="00C07DD1" w:rsidRPr="000606AC">
        <w:rPr>
          <w:u w:val="single"/>
        </w:rPr>
        <w:t xml:space="preserve"> and</w:t>
      </w:r>
      <w:r w:rsidR="00C07DD1" w:rsidRPr="000606AC">
        <w:t xml:space="preserve"> if 90 days or more has passed in the fiscal year</w:t>
      </w:r>
      <w:r w:rsidRPr="00EA23A9">
        <w:t xml:space="preserve">, if the examiner’s last </w:t>
      </w:r>
      <w:r w:rsidRPr="00EA23A9">
        <w:rPr>
          <w:b/>
        </w:rPr>
        <w:t>ROR is FS</w:t>
      </w:r>
      <w:r w:rsidRPr="00EA23A9">
        <w:t xml:space="preserve"> or higher and the examiner’s </w:t>
      </w:r>
      <w:r w:rsidRPr="00EA23A9">
        <w:rPr>
          <w:b/>
        </w:rPr>
        <w:t>current</w:t>
      </w:r>
      <w:r w:rsidRPr="00EA23A9">
        <w:t xml:space="preserve"> </w:t>
      </w:r>
      <w:r w:rsidRPr="00EA23A9">
        <w:rPr>
          <w:b/>
        </w:rPr>
        <w:t>performance</w:t>
      </w:r>
      <w:r w:rsidRPr="00EA23A9">
        <w:t xml:space="preserve"> from the start of the current fiscal year to the </w:t>
      </w:r>
      <w:r w:rsidR="00684361">
        <w:t xml:space="preserve">end of the </w:t>
      </w:r>
      <w:r w:rsidRPr="00EA23A9">
        <w:t xml:space="preserve">biweek prior to when the WGI is due is </w:t>
      </w:r>
      <w:r w:rsidR="00ED3BE3" w:rsidRPr="00EA23A9">
        <w:t xml:space="preserve">at least </w:t>
      </w:r>
      <w:r w:rsidRPr="00EA23A9">
        <w:rPr>
          <w:b/>
        </w:rPr>
        <w:t>FS</w:t>
      </w:r>
      <w:r w:rsidRPr="00EA23A9">
        <w:t xml:space="preserve"> in all critical elements, the WGI should be </w:t>
      </w:r>
      <w:r w:rsidRPr="00EA23A9">
        <w:rPr>
          <w:b/>
        </w:rPr>
        <w:t>granted and is automatic</w:t>
      </w:r>
      <w:r w:rsidRPr="00EA23A9">
        <w:t xml:space="preserve"> unless previously denied.  No action is necessary</w:t>
      </w:r>
      <w:r w:rsidR="008E5BD4" w:rsidRPr="00EA23A9">
        <w:t xml:space="preserve"> </w:t>
      </w:r>
      <w:r w:rsidR="00ED3BE3" w:rsidRPr="00EA23A9">
        <w:t>in this situation</w:t>
      </w:r>
      <w:r w:rsidRPr="00EA23A9">
        <w:t>; return the HR standard form acknowledging approval of the WGI as close to the WGI date as possible</w:t>
      </w:r>
      <w:r w:rsidR="00ED3BE3" w:rsidRPr="00EA23A9">
        <w:t xml:space="preserve">.  In situations where the WGI was previously denied, the WGI needs to be granted by completing an SF-52 and providing a </w:t>
      </w:r>
      <w:r w:rsidR="00556F24" w:rsidRPr="00EA23A9">
        <w:t xml:space="preserve">copy of the </w:t>
      </w:r>
      <w:r w:rsidR="00C07DD1" w:rsidRPr="00EA23A9">
        <w:t>new rating of record</w:t>
      </w:r>
      <w:r w:rsidR="00ED3BE3" w:rsidRPr="00EA23A9">
        <w:t>.</w:t>
      </w:r>
    </w:p>
    <w:p w:rsidR="002673DC" w:rsidRPr="00EA23A9" w:rsidRDefault="002673DC" w:rsidP="00CC530B"/>
    <w:p w:rsidR="002673DC" w:rsidRPr="00EA23A9" w:rsidRDefault="00C07DD1" w:rsidP="00CC530B">
      <w:pPr>
        <w:rPr>
          <w:b/>
          <w:u w:val="single"/>
        </w:rPr>
      </w:pPr>
      <w:r w:rsidRPr="00EA23A9">
        <w:rPr>
          <w:b/>
          <w:u w:val="single"/>
        </w:rPr>
        <w:t xml:space="preserve">Off-Cycle </w:t>
      </w:r>
      <w:r w:rsidR="002673DC" w:rsidRPr="00EA23A9">
        <w:rPr>
          <w:b/>
          <w:u w:val="single"/>
        </w:rPr>
        <w:t>Ratings</w:t>
      </w:r>
      <w:r w:rsidRPr="00EA23A9">
        <w:rPr>
          <w:b/>
          <w:u w:val="single"/>
        </w:rPr>
        <w:t xml:space="preserve"> of Record</w:t>
      </w:r>
    </w:p>
    <w:p w:rsidR="00044D29" w:rsidRPr="00EA23A9" w:rsidRDefault="00044D29" w:rsidP="00CC530B">
      <w:pPr>
        <w:rPr>
          <w:b/>
          <w:u w:val="single"/>
        </w:rPr>
      </w:pPr>
    </w:p>
    <w:p w:rsidR="002673DC" w:rsidRPr="00EA23A9" w:rsidRDefault="002673DC" w:rsidP="00816246">
      <w:r w:rsidRPr="00EA23A9">
        <w:t xml:space="preserve">To either deny a WGI when a ROR is </w:t>
      </w:r>
      <w:r w:rsidR="00ED3BE3" w:rsidRPr="00EA23A9">
        <w:t xml:space="preserve">at least </w:t>
      </w:r>
      <w:r w:rsidRPr="00EA23A9">
        <w:t>FS or grant a WGI when a ROR is less than FS</w:t>
      </w:r>
      <w:r w:rsidR="007358B3" w:rsidRPr="00EA23A9">
        <w:t>:</w:t>
      </w:r>
    </w:p>
    <w:p w:rsidR="00044D29" w:rsidRPr="00EA23A9" w:rsidRDefault="00044D29" w:rsidP="00816246"/>
    <w:p w:rsidR="002673DC" w:rsidRPr="00EA23A9" w:rsidRDefault="002673DC" w:rsidP="00816246">
      <w:pPr>
        <w:numPr>
          <w:ilvl w:val="0"/>
          <w:numId w:val="7"/>
        </w:numPr>
        <w:ind w:left="360"/>
      </w:pPr>
      <w:r w:rsidRPr="00EA23A9">
        <w:t xml:space="preserve">SPE prepares a </w:t>
      </w:r>
      <w:r w:rsidR="00C07DD1" w:rsidRPr="000606AC">
        <w:t xml:space="preserve">new, off-cycle </w:t>
      </w:r>
      <w:r w:rsidRPr="000606AC">
        <w:t xml:space="preserve">rating </w:t>
      </w:r>
      <w:r w:rsidR="00C07DD1" w:rsidRPr="000606AC">
        <w:t>of record,</w:t>
      </w:r>
      <w:r w:rsidRPr="00EA23A9">
        <w:t xml:space="preserve"> using a </w:t>
      </w:r>
      <w:r w:rsidRPr="00EA23A9">
        <w:rPr>
          <w:b/>
          <w:bCs/>
        </w:rPr>
        <w:t>copy</w:t>
      </w:r>
      <w:r w:rsidRPr="00EA23A9">
        <w:t xml:space="preserve"> of the current, signed PAP </w:t>
      </w:r>
      <w:r w:rsidR="007B71F9">
        <w:t xml:space="preserve">generally </w:t>
      </w:r>
      <w:r w:rsidRPr="00EA23A9">
        <w:t xml:space="preserve">issued at the start of the current fiscal year (i.e., </w:t>
      </w:r>
      <w:r w:rsidR="007C41D7" w:rsidRPr="00EA23A9">
        <w:t xml:space="preserve">issued in </w:t>
      </w:r>
      <w:r w:rsidRPr="00EA23A9">
        <w:t xml:space="preserve">October </w:t>
      </w:r>
      <w:r w:rsidR="007C41D7" w:rsidRPr="00EA23A9">
        <w:t>of the current FY</w:t>
      </w:r>
      <w:r w:rsidRPr="00EA23A9">
        <w:t xml:space="preserve">).  The dates reflected on this copy of the PAP must be hand-corrected (w/correction initialed) to show </w:t>
      </w:r>
      <w:r w:rsidR="00ED3BE3" w:rsidRPr="00EA23A9">
        <w:t>the date at the beginning of the fiscal year (generally 10/1/</w:t>
      </w:r>
      <w:r w:rsidRPr="00EA23A9">
        <w:t>year</w:t>
      </w:r>
      <w:r w:rsidR="00ED3BE3" w:rsidRPr="00EA23A9">
        <w:t>)</w:t>
      </w:r>
      <w:r w:rsidRPr="00EA23A9">
        <w:t xml:space="preserve"> – through </w:t>
      </w:r>
      <w:r w:rsidR="00D26F39" w:rsidRPr="00EA23A9">
        <w:t xml:space="preserve">the </w:t>
      </w:r>
      <w:r w:rsidR="00684361">
        <w:t xml:space="preserve">end of the </w:t>
      </w:r>
      <w:r w:rsidR="00D26F39" w:rsidRPr="00EA23A9">
        <w:t xml:space="preserve">biweek </w:t>
      </w:r>
      <w:r w:rsidR="00D26F39" w:rsidRPr="00EA23A9">
        <w:rPr>
          <w:b/>
          <w:i/>
        </w:rPr>
        <w:t>before</w:t>
      </w:r>
      <w:r w:rsidR="00D26F39" w:rsidRPr="00EA23A9">
        <w:t xml:space="preserve"> </w:t>
      </w:r>
      <w:r w:rsidRPr="00EA23A9">
        <w:t>the WGI due date.</w:t>
      </w:r>
    </w:p>
    <w:p w:rsidR="005D72DB" w:rsidRPr="00EA23A9" w:rsidRDefault="007C41D7" w:rsidP="005D72DB">
      <w:pPr>
        <w:numPr>
          <w:ilvl w:val="1"/>
          <w:numId w:val="7"/>
        </w:numPr>
      </w:pPr>
      <w:r w:rsidRPr="000606AC">
        <w:t>The new rating of record is used for all purposes for which a rating of record is used (RIF, Promotions, Telework), but would not affect an SAA because the requirements do not require an FS rating of record</w:t>
      </w:r>
      <w:r w:rsidR="005D72DB" w:rsidRPr="000606AC">
        <w:t>.</w:t>
      </w:r>
    </w:p>
    <w:p w:rsidR="00044D29" w:rsidRPr="00EA23A9" w:rsidRDefault="00044D29" w:rsidP="00044D29">
      <w:pPr>
        <w:ind w:left="360"/>
      </w:pPr>
    </w:p>
    <w:p w:rsidR="002673DC" w:rsidRPr="00EA23A9" w:rsidRDefault="007C41D7" w:rsidP="00816246">
      <w:pPr>
        <w:numPr>
          <w:ilvl w:val="0"/>
          <w:numId w:val="7"/>
        </w:numPr>
        <w:ind w:left="360"/>
      </w:pPr>
      <w:r w:rsidRPr="000606AC">
        <w:rPr>
          <w:b/>
        </w:rPr>
        <w:t xml:space="preserve">Contrary to any prior instructions, </w:t>
      </w:r>
      <w:r w:rsidRPr="000606AC">
        <w:rPr>
          <w:b/>
          <w:u w:val="single"/>
        </w:rPr>
        <w:t>Do not mark the PAP</w:t>
      </w:r>
      <w:r w:rsidR="002673DC" w:rsidRPr="000606AC">
        <w:t xml:space="preserve"> </w:t>
      </w:r>
      <w:r w:rsidRPr="000606AC">
        <w:t>“</w:t>
      </w:r>
      <w:r w:rsidR="002673DC" w:rsidRPr="000606AC">
        <w:t>FOR WGI PURPOSES ONLY</w:t>
      </w:r>
      <w:r w:rsidRPr="000606AC">
        <w:t>.”</w:t>
      </w:r>
      <w:r w:rsidR="002673DC" w:rsidRPr="00EA23A9">
        <w:t xml:space="preserve"> </w:t>
      </w:r>
    </w:p>
    <w:p w:rsidR="00044D29" w:rsidRPr="00EA23A9" w:rsidRDefault="00044D29" w:rsidP="00044D29">
      <w:pPr>
        <w:pStyle w:val="ListParagraph"/>
      </w:pPr>
    </w:p>
    <w:p w:rsidR="002673DC" w:rsidRPr="00EA23A9" w:rsidRDefault="002673DC" w:rsidP="00816246">
      <w:pPr>
        <w:numPr>
          <w:ilvl w:val="0"/>
          <w:numId w:val="7"/>
        </w:numPr>
        <w:ind w:left="360"/>
      </w:pPr>
      <w:r w:rsidRPr="00EA23A9">
        <w:t xml:space="preserve">The SPE completes the evaluation in SMD (from “Examiner Information” go to “Performance Rating/Mid-Year Review” then click on the green+ to “Add Rating” and select </w:t>
      </w:r>
      <w:r w:rsidR="000606AC">
        <w:t>“</w:t>
      </w:r>
      <w:r w:rsidR="001E08A4" w:rsidRPr="000606AC">
        <w:rPr>
          <w:b/>
        </w:rPr>
        <w:t>Off-Cycle”</w:t>
      </w:r>
      <w:r w:rsidRPr="00EA23A9">
        <w:t xml:space="preserve"> under “Rating Type”).  </w:t>
      </w:r>
      <w:r w:rsidR="007358B3" w:rsidRPr="00EA23A9">
        <w:t xml:space="preserve">Consider performance </w:t>
      </w:r>
      <w:r w:rsidR="00684361">
        <w:t>through the end of the pay period prior to the potential WGI date</w:t>
      </w:r>
      <w:r w:rsidR="007358B3" w:rsidRPr="00EA23A9">
        <w:t xml:space="preserve">.  </w:t>
      </w:r>
      <w:r w:rsidRPr="00EA23A9">
        <w:t xml:space="preserve">A </w:t>
      </w:r>
      <w:r w:rsidRPr="00EA23A9">
        <w:rPr>
          <w:u w:val="single"/>
        </w:rPr>
        <w:t>complete</w:t>
      </w:r>
      <w:r w:rsidRPr="00EA23A9">
        <w:t xml:space="preserve"> evaluation must be done, filling out the entire evaluation form – </w:t>
      </w:r>
      <w:r w:rsidR="00ED3BE3" w:rsidRPr="00EA23A9">
        <w:t>similar to</w:t>
      </w:r>
      <w:r w:rsidRPr="00EA23A9">
        <w:t xml:space="preserve"> doing an end of year rating.  This will explain how the employee's performance is either Marginal or Unsatisfactory</w:t>
      </w:r>
      <w:r w:rsidR="009151B2" w:rsidRPr="00EA23A9">
        <w:t xml:space="preserve"> </w:t>
      </w:r>
      <w:r w:rsidR="00ED3BE3" w:rsidRPr="00EA23A9">
        <w:t xml:space="preserve">(if denying the WGI) </w:t>
      </w:r>
      <w:r w:rsidR="009151B2" w:rsidRPr="00EA23A9">
        <w:t>OR FS or better</w:t>
      </w:r>
      <w:r w:rsidR="00ED3BE3" w:rsidRPr="00EA23A9">
        <w:t xml:space="preserve"> (if granting the WGI)</w:t>
      </w:r>
      <w:r w:rsidRPr="00EA23A9">
        <w:t xml:space="preserve">.  </w:t>
      </w:r>
      <w:r w:rsidRPr="00EA23A9">
        <w:rPr>
          <w:i/>
        </w:rPr>
        <w:t>Remember, if any critical element is below FS, the overall rating can be NO HIGHER than that element.</w:t>
      </w:r>
      <w:r w:rsidRPr="00EA23A9">
        <w:t xml:space="preserve"> So if any of PROD, DM, or QUAL is below FS to date, </w:t>
      </w:r>
      <w:r w:rsidR="009151B2" w:rsidRPr="00EA23A9">
        <w:t>a</w:t>
      </w:r>
      <w:r w:rsidRPr="00EA23A9">
        <w:t xml:space="preserve"> WGI denial is appropriate.</w:t>
      </w:r>
    </w:p>
    <w:p w:rsidR="00044D29" w:rsidRPr="00EA23A9" w:rsidRDefault="00044D29" w:rsidP="00044D29">
      <w:pPr>
        <w:pStyle w:val="ListParagraph"/>
      </w:pPr>
    </w:p>
    <w:p w:rsidR="002673DC" w:rsidRPr="00EA23A9" w:rsidRDefault="002673DC" w:rsidP="00816246">
      <w:pPr>
        <w:numPr>
          <w:ilvl w:val="0"/>
          <w:numId w:val="7"/>
        </w:numPr>
        <w:ind w:left="360"/>
      </w:pPr>
      <w:r w:rsidRPr="00EA23A9">
        <w:t>The SPE, Director</w:t>
      </w:r>
      <w:r w:rsidR="001E08A4" w:rsidRPr="00EA23A9">
        <w:t>,</w:t>
      </w:r>
      <w:r w:rsidRPr="00EA23A9">
        <w:t xml:space="preserve"> and Examiner must </w:t>
      </w:r>
      <w:r w:rsidR="001E08A4" w:rsidRPr="00EA23A9">
        <w:t xml:space="preserve">all </w:t>
      </w:r>
      <w:r w:rsidRPr="00EA23A9">
        <w:t xml:space="preserve">sign </w:t>
      </w:r>
      <w:r w:rsidR="000A7A2F" w:rsidRPr="00EA23A9">
        <w:t xml:space="preserve">and date </w:t>
      </w:r>
      <w:r w:rsidRPr="00EA23A9">
        <w:t xml:space="preserve">the rating in SECTION II (summary); this requires a meeting with the Examiner to explain why </w:t>
      </w:r>
      <w:r w:rsidR="000A7A2F" w:rsidRPr="00EA23A9">
        <w:t xml:space="preserve">they are getting an </w:t>
      </w:r>
      <w:r w:rsidR="001E08A4" w:rsidRPr="00EA23A9">
        <w:t>off-cycle</w:t>
      </w:r>
      <w:r w:rsidR="000A7A2F" w:rsidRPr="00EA23A9">
        <w:t xml:space="preserve"> rating of record, that is, because</w:t>
      </w:r>
      <w:r w:rsidRPr="00EA23A9">
        <w:t xml:space="preserve"> their WGI is being denied</w:t>
      </w:r>
      <w:r w:rsidR="009151B2" w:rsidRPr="00EA23A9">
        <w:t xml:space="preserve"> or granted</w:t>
      </w:r>
      <w:r w:rsidRPr="00EA23A9">
        <w:t>.</w:t>
      </w:r>
      <w:r w:rsidR="00FC7AA4" w:rsidRPr="00EA23A9">
        <w:t xml:space="preserve">  If the Examiner cannot be reached or refuses to sign, the SPE </w:t>
      </w:r>
      <w:r w:rsidR="000A7A2F" w:rsidRPr="00EA23A9">
        <w:t xml:space="preserve">should </w:t>
      </w:r>
      <w:r w:rsidR="00FC7AA4" w:rsidRPr="00EA23A9">
        <w:t>note</w:t>
      </w:r>
      <w:r w:rsidR="000A7A2F" w:rsidRPr="00EA23A9">
        <w:t xml:space="preserve"> the unavailability/refusal to sign</w:t>
      </w:r>
      <w:r w:rsidR="00FC7AA4" w:rsidRPr="00EA23A9">
        <w:t xml:space="preserve"> in the Examiner’s signature box.</w:t>
      </w:r>
    </w:p>
    <w:p w:rsidR="00044D29" w:rsidRPr="00EA23A9" w:rsidRDefault="00044D29" w:rsidP="00044D29">
      <w:pPr>
        <w:pStyle w:val="ListParagraph"/>
      </w:pPr>
    </w:p>
    <w:p w:rsidR="002673DC" w:rsidRPr="00EA23A9" w:rsidRDefault="002673DC" w:rsidP="00816246">
      <w:pPr>
        <w:numPr>
          <w:ilvl w:val="0"/>
          <w:numId w:val="7"/>
        </w:numPr>
        <w:ind w:left="360"/>
      </w:pPr>
      <w:r w:rsidRPr="00EA23A9">
        <w:t>Th</w:t>
      </w:r>
      <w:r w:rsidR="000A7A2F" w:rsidRPr="00EA23A9">
        <w:t>e</w:t>
      </w:r>
      <w:r w:rsidRPr="00EA23A9">
        <w:t xml:space="preserve"> </w:t>
      </w:r>
      <w:r w:rsidR="00556F24" w:rsidRPr="00EA23A9">
        <w:t>off-cycle</w:t>
      </w:r>
      <w:r w:rsidRPr="00EA23A9">
        <w:t xml:space="preserve"> rating will be maintained in the employee’s </w:t>
      </w:r>
      <w:r w:rsidR="001E08A4" w:rsidRPr="00EA23A9">
        <w:t>E</w:t>
      </w:r>
      <w:r w:rsidRPr="00EA23A9">
        <w:t xml:space="preserve">PF </w:t>
      </w:r>
      <w:r w:rsidR="00FC7AA4" w:rsidRPr="00EA23A9">
        <w:t>(</w:t>
      </w:r>
      <w:r w:rsidR="001E08A4" w:rsidRPr="00EA23A9">
        <w:t>Employee</w:t>
      </w:r>
      <w:r w:rsidR="00FC7AA4" w:rsidRPr="00EA23A9">
        <w:t xml:space="preserve"> Per</w:t>
      </w:r>
      <w:r w:rsidR="002569D0" w:rsidRPr="00EA23A9">
        <w:t>formance</w:t>
      </w:r>
      <w:r w:rsidR="00FC7AA4" w:rsidRPr="00EA23A9">
        <w:t xml:space="preserve"> Folder) </w:t>
      </w:r>
      <w:r w:rsidRPr="00EA23A9">
        <w:t>and ER WGI denial file</w:t>
      </w:r>
      <w:r w:rsidR="00556F24" w:rsidRPr="00EA23A9">
        <w:t>, therefore, a complete copy of the rating, including the elements and standards must be submitted to ER</w:t>
      </w:r>
      <w:r w:rsidRPr="00EA23A9">
        <w:t xml:space="preserve">.  The </w:t>
      </w:r>
      <w:r w:rsidR="001E08A4" w:rsidRPr="00EA23A9">
        <w:t>off-cycle</w:t>
      </w:r>
      <w:r w:rsidRPr="00EA23A9">
        <w:t xml:space="preserve"> rating form in SMD can be deleted after the WGI processing is completed.  The SPE will still be responsible for preparing a ROR following the end of the FY, which will be for the entire FY, not just from the time of </w:t>
      </w:r>
      <w:r w:rsidR="009151B2" w:rsidRPr="00EA23A9">
        <w:t>WGI action</w:t>
      </w:r>
      <w:r w:rsidRPr="00EA23A9">
        <w:t>.</w:t>
      </w:r>
    </w:p>
    <w:p w:rsidR="006C10CF" w:rsidRPr="00EA23A9" w:rsidRDefault="006C10CF" w:rsidP="006C10CF"/>
    <w:p w:rsidR="006C10CF" w:rsidRPr="00EA23A9" w:rsidRDefault="006C10CF" w:rsidP="006C10CF">
      <w:r w:rsidRPr="00EA23A9">
        <w:rPr>
          <w:b/>
          <w:u w:val="single"/>
        </w:rPr>
        <w:lastRenderedPageBreak/>
        <w:t xml:space="preserve">To Grant WGI </w:t>
      </w:r>
      <w:r w:rsidRPr="00EA23A9">
        <w:rPr>
          <w:u w:val="single"/>
        </w:rPr>
        <w:t xml:space="preserve">with </w:t>
      </w:r>
      <w:r w:rsidR="007358B3" w:rsidRPr="00EA23A9">
        <w:rPr>
          <w:u w:val="single"/>
        </w:rPr>
        <w:t xml:space="preserve">a </w:t>
      </w:r>
      <w:r w:rsidRPr="00EA23A9">
        <w:rPr>
          <w:u w:val="single"/>
        </w:rPr>
        <w:t>ROR less than FS but current pe</w:t>
      </w:r>
      <w:r w:rsidR="007358B3" w:rsidRPr="00EA23A9">
        <w:rPr>
          <w:u w:val="single"/>
        </w:rPr>
        <w:t>rformance FS or higher in Q2-Q4</w:t>
      </w:r>
      <w:r w:rsidRPr="00EA23A9">
        <w:rPr>
          <w:u w:val="single"/>
        </w:rPr>
        <w:t>:</w:t>
      </w:r>
      <w:r w:rsidRPr="00EA23A9">
        <w:rPr>
          <w:b/>
        </w:rPr>
        <w:t xml:space="preserve">  </w:t>
      </w:r>
    </w:p>
    <w:p w:rsidR="007358B3" w:rsidRPr="00EA23A9" w:rsidRDefault="007358B3" w:rsidP="006C10CF">
      <w:pPr>
        <w:rPr>
          <w:sz w:val="12"/>
          <w:szCs w:val="12"/>
        </w:rPr>
      </w:pPr>
    </w:p>
    <w:p w:rsidR="006C10CF" w:rsidRPr="00EA23A9" w:rsidRDefault="006C10CF" w:rsidP="006C10CF">
      <w:r w:rsidRPr="00EA23A9">
        <w:rPr>
          <w:b/>
        </w:rPr>
        <w:t xml:space="preserve">1)  Discuss with TC-ER </w:t>
      </w:r>
      <w:r w:rsidR="000A7A2F" w:rsidRPr="00EA23A9">
        <w:rPr>
          <w:b/>
        </w:rPr>
        <w:t xml:space="preserve">Liaison </w:t>
      </w:r>
      <w:r w:rsidRPr="00EA23A9">
        <w:rPr>
          <w:b/>
        </w:rPr>
        <w:t xml:space="preserve">and </w:t>
      </w:r>
      <w:r w:rsidR="000A7A2F" w:rsidRPr="00EA23A9">
        <w:rPr>
          <w:b/>
        </w:rPr>
        <w:t>TC</w:t>
      </w:r>
      <w:r w:rsidRPr="00EA23A9">
        <w:rPr>
          <w:b/>
        </w:rPr>
        <w:t xml:space="preserve"> Director </w:t>
      </w:r>
      <w:r w:rsidRPr="00EA23A9">
        <w:t>as needed</w:t>
      </w:r>
      <w:r w:rsidRPr="00EA23A9">
        <w:rPr>
          <w:b/>
        </w:rPr>
        <w:t xml:space="preserve"> </w:t>
      </w:r>
      <w:r w:rsidRPr="00EA23A9">
        <w:t xml:space="preserve">(Director’s signature will be needed on any </w:t>
      </w:r>
      <w:r w:rsidR="00D8627D" w:rsidRPr="00EA23A9">
        <w:t>off-cycle</w:t>
      </w:r>
      <w:r w:rsidRPr="00EA23A9">
        <w:t xml:space="preserve"> rating and SF52).  </w:t>
      </w:r>
    </w:p>
    <w:p w:rsidR="006C10CF" w:rsidRPr="00EA23A9" w:rsidRDefault="006C10CF" w:rsidP="006C10CF">
      <w:pPr>
        <w:rPr>
          <w:sz w:val="16"/>
          <w:szCs w:val="16"/>
        </w:rPr>
      </w:pPr>
    </w:p>
    <w:p w:rsidR="006C10CF" w:rsidRPr="00EA23A9" w:rsidRDefault="006C10CF" w:rsidP="006C10CF">
      <w:r w:rsidRPr="00EA23A9">
        <w:rPr>
          <w:b/>
        </w:rPr>
        <w:t xml:space="preserve">2)  Complete </w:t>
      </w:r>
      <w:r w:rsidR="00D8627D" w:rsidRPr="00EA23A9">
        <w:rPr>
          <w:b/>
        </w:rPr>
        <w:t xml:space="preserve">off-cycle </w:t>
      </w:r>
      <w:r w:rsidRPr="00EA23A9">
        <w:rPr>
          <w:b/>
        </w:rPr>
        <w:t>ROR</w:t>
      </w:r>
      <w:r w:rsidRPr="00EA23A9">
        <w:t xml:space="preserve">.  </w:t>
      </w:r>
    </w:p>
    <w:p w:rsidR="006C10CF" w:rsidRPr="00EA23A9" w:rsidRDefault="006C10CF" w:rsidP="00816246">
      <w:pPr>
        <w:rPr>
          <w:sz w:val="16"/>
          <w:szCs w:val="16"/>
        </w:rPr>
      </w:pPr>
    </w:p>
    <w:p w:rsidR="006C10CF" w:rsidRPr="00EA23A9" w:rsidRDefault="006C10CF" w:rsidP="006C10CF">
      <w:r w:rsidRPr="00EA23A9">
        <w:rPr>
          <w:b/>
        </w:rPr>
        <w:t>3)  Complete an</w:t>
      </w:r>
      <w:r w:rsidRPr="00EA23A9">
        <w:t xml:space="preserve"> </w:t>
      </w:r>
      <w:r w:rsidRPr="00EA23A9">
        <w:rPr>
          <w:b/>
        </w:rPr>
        <w:t>SF-52</w:t>
      </w:r>
      <w:r w:rsidRPr="00EA23A9">
        <w:t xml:space="preserve"> entitled “Grant of WGI”.   SPE and Director sign.</w:t>
      </w:r>
    </w:p>
    <w:p w:rsidR="006C10CF" w:rsidRPr="00EA23A9" w:rsidRDefault="006C10CF" w:rsidP="006C10CF">
      <w:pPr>
        <w:rPr>
          <w:sz w:val="16"/>
          <w:szCs w:val="16"/>
        </w:rPr>
      </w:pPr>
    </w:p>
    <w:p w:rsidR="006C10CF" w:rsidRPr="00EA23A9" w:rsidRDefault="006C10CF" w:rsidP="006C10CF">
      <w:pPr>
        <w:rPr>
          <w:b/>
        </w:rPr>
      </w:pPr>
      <w:r w:rsidRPr="00EA23A9">
        <w:rPr>
          <w:b/>
        </w:rPr>
        <w:t xml:space="preserve">4)  Provide the following to a TC-ER </w:t>
      </w:r>
      <w:r w:rsidR="000A7A2F" w:rsidRPr="00EA23A9">
        <w:rPr>
          <w:b/>
        </w:rPr>
        <w:t>Liaison</w:t>
      </w:r>
      <w:r w:rsidRPr="00EA23A9">
        <w:rPr>
          <w:b/>
        </w:rPr>
        <w:t xml:space="preserve">, who will forward to ER, for the WGI </w:t>
      </w:r>
      <w:r w:rsidR="001070A3" w:rsidRPr="00EA23A9">
        <w:rPr>
          <w:b/>
        </w:rPr>
        <w:t>grant</w:t>
      </w:r>
      <w:r w:rsidRPr="00EA23A9">
        <w:rPr>
          <w:b/>
        </w:rPr>
        <w:t>:</w:t>
      </w:r>
    </w:p>
    <w:p w:rsidR="006C10CF" w:rsidRPr="00EA23A9" w:rsidRDefault="006C10CF" w:rsidP="006C10CF">
      <w:pPr>
        <w:numPr>
          <w:ilvl w:val="0"/>
          <w:numId w:val="10"/>
        </w:numPr>
      </w:pPr>
      <w:r w:rsidRPr="00EA23A9">
        <w:t xml:space="preserve">Current year’s PAP with all three signatures and dates on the front page and delivery of </w:t>
      </w:r>
      <w:r w:rsidR="000A7A2F" w:rsidRPr="00EA23A9">
        <w:t xml:space="preserve">link to full </w:t>
      </w:r>
      <w:r w:rsidRPr="00EA23A9">
        <w:t>PAP via SMD (copy of email sent in SMD)</w:t>
      </w:r>
      <w:r w:rsidR="00556F24" w:rsidRPr="00EA23A9">
        <w:t>, and all elements and standard pages.</w:t>
      </w:r>
    </w:p>
    <w:p w:rsidR="006C10CF" w:rsidRPr="00EA23A9" w:rsidRDefault="00556F24" w:rsidP="00816246">
      <w:pPr>
        <w:numPr>
          <w:ilvl w:val="0"/>
          <w:numId w:val="10"/>
        </w:numPr>
      </w:pPr>
      <w:r w:rsidRPr="00EA23A9">
        <w:t xml:space="preserve">Off-cycle </w:t>
      </w:r>
      <w:r w:rsidR="006C10CF" w:rsidRPr="00EA23A9">
        <w:t xml:space="preserve">rating (ROR), signed </w:t>
      </w:r>
      <w:r w:rsidR="00D53209" w:rsidRPr="00EA23A9">
        <w:t xml:space="preserve">and dated </w:t>
      </w:r>
      <w:r w:rsidR="006C10CF" w:rsidRPr="00EA23A9">
        <w:t>by Director, SPE, and Examiner</w:t>
      </w:r>
    </w:p>
    <w:p w:rsidR="006C10CF" w:rsidRPr="00EA23A9" w:rsidRDefault="006C10CF" w:rsidP="00D26F39">
      <w:pPr>
        <w:numPr>
          <w:ilvl w:val="0"/>
          <w:numId w:val="10"/>
        </w:numPr>
      </w:pPr>
      <w:r w:rsidRPr="00EA23A9">
        <w:t>Copy of SF52 entitled “Grant of WGI”</w:t>
      </w:r>
    </w:p>
    <w:p w:rsidR="00F65E89" w:rsidRPr="00EA23A9" w:rsidRDefault="00F65E89" w:rsidP="00CC530B"/>
    <w:p w:rsidR="005E31F1" w:rsidRPr="00EA23A9" w:rsidRDefault="00EC6A16" w:rsidP="00F65E89">
      <w:r w:rsidRPr="00EA23A9">
        <w:rPr>
          <w:b/>
          <w:u w:val="single"/>
        </w:rPr>
        <w:t>To Deny WGI:</w:t>
      </w:r>
      <w:r w:rsidR="001C217B" w:rsidRPr="00EA23A9">
        <w:rPr>
          <w:b/>
        </w:rPr>
        <w:t xml:space="preserve">  </w:t>
      </w:r>
      <w:r w:rsidR="005E31F1" w:rsidRPr="00EA23A9">
        <w:t xml:space="preserve">consider performance </w:t>
      </w:r>
      <w:r w:rsidR="005E31F1" w:rsidRPr="00EA23A9">
        <w:rPr>
          <w:i/>
          <w:u w:val="single"/>
        </w:rPr>
        <w:t>as close to potential WGI date as possible</w:t>
      </w:r>
      <w:r w:rsidR="007358B3" w:rsidRPr="00EA23A9">
        <w:t>:</w:t>
      </w:r>
    </w:p>
    <w:p w:rsidR="00C41E93" w:rsidRPr="00EA23A9" w:rsidRDefault="00C41E93" w:rsidP="00F65E89">
      <w:pPr>
        <w:rPr>
          <w:b/>
          <w:sz w:val="12"/>
          <w:szCs w:val="12"/>
        </w:rPr>
      </w:pPr>
    </w:p>
    <w:p w:rsidR="00EC6A16" w:rsidRPr="00EA23A9" w:rsidRDefault="008F242F" w:rsidP="00F65E89">
      <w:r w:rsidRPr="00EA23A9">
        <w:rPr>
          <w:b/>
        </w:rPr>
        <w:t xml:space="preserve">1)  </w:t>
      </w:r>
      <w:r w:rsidR="00AE372C" w:rsidRPr="00EA23A9">
        <w:rPr>
          <w:b/>
        </w:rPr>
        <w:t xml:space="preserve">Discuss with </w:t>
      </w:r>
      <w:r w:rsidR="005E31F1" w:rsidRPr="00EA23A9">
        <w:rPr>
          <w:b/>
        </w:rPr>
        <w:t xml:space="preserve">your </w:t>
      </w:r>
      <w:r w:rsidR="002A1D26" w:rsidRPr="00EA23A9">
        <w:rPr>
          <w:b/>
        </w:rPr>
        <w:t xml:space="preserve">TC-ER </w:t>
      </w:r>
      <w:r w:rsidR="000A7A2F" w:rsidRPr="00EA23A9">
        <w:rPr>
          <w:b/>
        </w:rPr>
        <w:t>Liaison</w:t>
      </w:r>
      <w:r w:rsidR="002A1D26" w:rsidRPr="00EA23A9">
        <w:rPr>
          <w:b/>
        </w:rPr>
        <w:t xml:space="preserve"> and </w:t>
      </w:r>
      <w:r w:rsidR="000A7A2F" w:rsidRPr="00EA23A9">
        <w:rPr>
          <w:b/>
        </w:rPr>
        <w:t xml:space="preserve">TC </w:t>
      </w:r>
      <w:r w:rsidR="005E31F1" w:rsidRPr="00EA23A9">
        <w:rPr>
          <w:b/>
        </w:rPr>
        <w:t>Director</w:t>
      </w:r>
      <w:r w:rsidR="002A1D26" w:rsidRPr="00EA23A9">
        <w:rPr>
          <w:b/>
        </w:rPr>
        <w:t xml:space="preserve"> </w:t>
      </w:r>
      <w:r w:rsidR="002A1D26" w:rsidRPr="00EA23A9">
        <w:t xml:space="preserve">(Director’s signature will be needed on </w:t>
      </w:r>
      <w:r w:rsidR="008C6440" w:rsidRPr="00EA23A9">
        <w:t xml:space="preserve">any </w:t>
      </w:r>
      <w:r w:rsidR="002A1D26" w:rsidRPr="00EA23A9">
        <w:t>rating and SF52)</w:t>
      </w:r>
      <w:r w:rsidR="005E31F1" w:rsidRPr="00EA23A9">
        <w:t xml:space="preserve">.  </w:t>
      </w:r>
    </w:p>
    <w:p w:rsidR="00C41E93" w:rsidRPr="00EA23A9" w:rsidRDefault="00C41E93" w:rsidP="00F65E89"/>
    <w:p w:rsidR="00AE372C" w:rsidRPr="00EA23A9" w:rsidRDefault="008F242F" w:rsidP="00F65E89">
      <w:r w:rsidRPr="00EA23A9">
        <w:rPr>
          <w:b/>
        </w:rPr>
        <w:t xml:space="preserve">2)  </w:t>
      </w:r>
      <w:r w:rsidR="000F61FF" w:rsidRPr="00EA23A9">
        <w:rPr>
          <w:b/>
        </w:rPr>
        <w:t>Obtain evidence of less than FS performance</w:t>
      </w:r>
      <w:r w:rsidR="000F61FF" w:rsidRPr="00EA23A9">
        <w:t xml:space="preserve">.  </w:t>
      </w:r>
    </w:p>
    <w:p w:rsidR="00AE372C" w:rsidRPr="00EA23A9" w:rsidRDefault="000F61FF" w:rsidP="001C217B">
      <w:pPr>
        <w:numPr>
          <w:ilvl w:val="0"/>
          <w:numId w:val="3"/>
        </w:numPr>
      </w:pPr>
      <w:r w:rsidRPr="00EA23A9">
        <w:t xml:space="preserve">If ROR is less than FS, </w:t>
      </w:r>
      <w:r w:rsidR="00AE372C" w:rsidRPr="00EA23A9">
        <w:t>combine</w:t>
      </w:r>
      <w:r w:rsidRPr="00EA23A9">
        <w:t xml:space="preserve"> with </w:t>
      </w:r>
      <w:r w:rsidR="00174936" w:rsidRPr="00EA23A9">
        <w:t xml:space="preserve">data (3205s </w:t>
      </w:r>
      <w:r w:rsidR="000A7A2F" w:rsidRPr="00EA23A9">
        <w:t>with production or docket management below 95% or evidence of quality errors to support a less than FS rating in that element</w:t>
      </w:r>
      <w:r w:rsidR="00174936" w:rsidRPr="00EA23A9">
        <w:t xml:space="preserve">) </w:t>
      </w:r>
      <w:r w:rsidR="00E039FA" w:rsidRPr="00EA23A9">
        <w:t xml:space="preserve">for the fiscal year </w:t>
      </w:r>
      <w:r w:rsidRPr="00EA23A9">
        <w:t xml:space="preserve">up to the date of denial.  </w:t>
      </w:r>
      <w:r w:rsidR="00E039FA" w:rsidRPr="00EA23A9">
        <w:t xml:space="preserve">No new rating is required, but you will </w:t>
      </w:r>
      <w:r w:rsidR="00556F24" w:rsidRPr="00EA23A9">
        <w:t xml:space="preserve">need </w:t>
      </w:r>
      <w:r w:rsidR="00E039FA" w:rsidRPr="00EA23A9">
        <w:t xml:space="preserve">the documentation to support the denial.  </w:t>
      </w:r>
    </w:p>
    <w:p w:rsidR="00E039FA" w:rsidRPr="00EA23A9" w:rsidRDefault="00E039FA" w:rsidP="001C217B">
      <w:pPr>
        <w:numPr>
          <w:ilvl w:val="0"/>
          <w:numId w:val="3"/>
        </w:numPr>
      </w:pPr>
      <w:r w:rsidRPr="00EA23A9">
        <w:t xml:space="preserve">If ROR is FS or better, complete the off-cycle rating and combine it with the evidence of less than FS year to date performance as mentioned above.  </w:t>
      </w:r>
    </w:p>
    <w:p w:rsidR="00C41E93" w:rsidRPr="00EA23A9" w:rsidRDefault="00C41E93" w:rsidP="00044D29">
      <w:pPr>
        <w:ind w:left="720"/>
      </w:pPr>
    </w:p>
    <w:p w:rsidR="00622826" w:rsidRPr="00EA23A9" w:rsidRDefault="008F242F" w:rsidP="00EC6A16">
      <w:r w:rsidRPr="00EA23A9">
        <w:rPr>
          <w:b/>
        </w:rPr>
        <w:t xml:space="preserve">3)  </w:t>
      </w:r>
      <w:r w:rsidR="00F65E89" w:rsidRPr="00EA23A9">
        <w:rPr>
          <w:b/>
        </w:rPr>
        <w:t>Complete</w:t>
      </w:r>
      <w:r w:rsidR="00DE7C04" w:rsidRPr="00EA23A9">
        <w:rPr>
          <w:b/>
        </w:rPr>
        <w:t xml:space="preserve"> an</w:t>
      </w:r>
      <w:r w:rsidR="00DE7C04" w:rsidRPr="00EA23A9">
        <w:t xml:space="preserve"> </w:t>
      </w:r>
      <w:r w:rsidR="00DE7C04" w:rsidRPr="00EA23A9">
        <w:rPr>
          <w:b/>
        </w:rPr>
        <w:t>SF-52</w:t>
      </w:r>
      <w:r w:rsidR="00DE7C04" w:rsidRPr="00EA23A9">
        <w:t xml:space="preserve"> entitled “Denial of WGI”</w:t>
      </w:r>
      <w:r w:rsidR="00072A10" w:rsidRPr="00EA23A9">
        <w:t>.</w:t>
      </w:r>
      <w:r w:rsidR="002A1D26" w:rsidRPr="00EA23A9">
        <w:t xml:space="preserve">   SPE and Director sign</w:t>
      </w:r>
      <w:r w:rsidR="00A45C12" w:rsidRPr="00EA23A9">
        <w:t xml:space="preserve"> and date</w:t>
      </w:r>
      <w:r w:rsidR="002A1D26" w:rsidRPr="00EA23A9">
        <w:t>.</w:t>
      </w:r>
    </w:p>
    <w:p w:rsidR="002A1D26" w:rsidRPr="00EA23A9" w:rsidRDefault="002A1D26" w:rsidP="00EC6A16"/>
    <w:p w:rsidR="0037561E" w:rsidRPr="00EA23A9" w:rsidRDefault="0037561E" w:rsidP="0037561E">
      <w:pPr>
        <w:rPr>
          <w:b/>
        </w:rPr>
      </w:pPr>
      <w:r w:rsidRPr="00EA23A9">
        <w:rPr>
          <w:b/>
        </w:rPr>
        <w:t xml:space="preserve">4)  Provide the following to </w:t>
      </w:r>
      <w:r w:rsidR="00F306F1" w:rsidRPr="00EA23A9">
        <w:rPr>
          <w:b/>
        </w:rPr>
        <w:t>a</w:t>
      </w:r>
      <w:r w:rsidR="00072A10" w:rsidRPr="00EA23A9">
        <w:rPr>
          <w:b/>
        </w:rPr>
        <w:t xml:space="preserve"> TC</w:t>
      </w:r>
      <w:r w:rsidR="00DD4441" w:rsidRPr="00EA23A9">
        <w:rPr>
          <w:b/>
        </w:rPr>
        <w:t>-</w:t>
      </w:r>
      <w:r w:rsidRPr="00EA23A9">
        <w:rPr>
          <w:b/>
        </w:rPr>
        <w:t>ER</w:t>
      </w:r>
      <w:r w:rsidR="000A7A2F" w:rsidRPr="00EA23A9">
        <w:rPr>
          <w:b/>
        </w:rPr>
        <w:t xml:space="preserve"> Liaison</w:t>
      </w:r>
      <w:r w:rsidR="00072A10" w:rsidRPr="00EA23A9">
        <w:rPr>
          <w:b/>
        </w:rPr>
        <w:t>, who will forward to ER,</w:t>
      </w:r>
      <w:r w:rsidRPr="00EA23A9">
        <w:rPr>
          <w:b/>
        </w:rPr>
        <w:t xml:space="preserve"> for </w:t>
      </w:r>
      <w:r w:rsidR="00DD4441" w:rsidRPr="00EA23A9">
        <w:rPr>
          <w:b/>
        </w:rPr>
        <w:t xml:space="preserve">the </w:t>
      </w:r>
      <w:r w:rsidRPr="00EA23A9">
        <w:rPr>
          <w:b/>
        </w:rPr>
        <w:t>WGI denial:</w:t>
      </w:r>
    </w:p>
    <w:p w:rsidR="00C532BB" w:rsidRPr="00EA23A9" w:rsidRDefault="00C532BB" w:rsidP="0037561E">
      <w:pPr>
        <w:numPr>
          <w:ilvl w:val="0"/>
          <w:numId w:val="10"/>
        </w:numPr>
      </w:pPr>
      <w:r w:rsidRPr="00EA23A9">
        <w:t>Current year’s PAP w</w:t>
      </w:r>
      <w:r w:rsidR="00DD4441" w:rsidRPr="00EA23A9">
        <w:t>ith</w:t>
      </w:r>
      <w:r w:rsidR="00627E60" w:rsidRPr="00EA23A9">
        <w:t xml:space="preserve"> all three signatures and dates </w:t>
      </w:r>
      <w:r w:rsidR="00072A10" w:rsidRPr="00EA23A9">
        <w:t xml:space="preserve">on </w:t>
      </w:r>
      <w:r w:rsidR="00650C70" w:rsidRPr="00EA23A9">
        <w:t xml:space="preserve">the </w:t>
      </w:r>
      <w:r w:rsidR="00072A10" w:rsidRPr="00EA23A9">
        <w:t>front</w:t>
      </w:r>
      <w:r w:rsidR="00650C70" w:rsidRPr="00EA23A9">
        <w:t xml:space="preserve"> page and</w:t>
      </w:r>
      <w:r w:rsidRPr="00EA23A9">
        <w:t xml:space="preserve"> delivery of </w:t>
      </w:r>
      <w:r w:rsidR="000A7A2F" w:rsidRPr="00EA23A9">
        <w:t>link to</w:t>
      </w:r>
      <w:r w:rsidR="00E039FA" w:rsidRPr="00EA23A9">
        <w:t xml:space="preserve"> </w:t>
      </w:r>
      <w:r w:rsidRPr="00EA23A9">
        <w:t>full PAP via SMD</w:t>
      </w:r>
      <w:r w:rsidR="00DD4441" w:rsidRPr="00EA23A9">
        <w:t xml:space="preserve"> (copy of email sent in SMD)</w:t>
      </w:r>
      <w:r w:rsidR="00556F24" w:rsidRPr="00EA23A9">
        <w:t>, and all elements and standard pages.</w:t>
      </w:r>
    </w:p>
    <w:p w:rsidR="00650C70" w:rsidRPr="00EA23A9" w:rsidRDefault="0037561E" w:rsidP="0037561E">
      <w:pPr>
        <w:numPr>
          <w:ilvl w:val="0"/>
          <w:numId w:val="10"/>
        </w:numPr>
      </w:pPr>
      <w:r w:rsidRPr="00EA23A9">
        <w:t>E</w:t>
      </w:r>
      <w:r w:rsidR="000F61FF" w:rsidRPr="00EA23A9">
        <w:t xml:space="preserve">vidence of </w:t>
      </w:r>
      <w:r w:rsidR="00622826" w:rsidRPr="00EA23A9">
        <w:t xml:space="preserve">less than FS </w:t>
      </w:r>
      <w:r w:rsidR="00E039FA" w:rsidRPr="00EA23A9">
        <w:t>year to date</w:t>
      </w:r>
      <w:r w:rsidR="000F61FF" w:rsidRPr="00EA23A9">
        <w:t xml:space="preserve"> performance</w:t>
      </w:r>
    </w:p>
    <w:p w:rsidR="0037561E" w:rsidRPr="00EA23A9" w:rsidRDefault="000F61FF" w:rsidP="00816246">
      <w:pPr>
        <w:numPr>
          <w:ilvl w:val="1"/>
          <w:numId w:val="10"/>
        </w:numPr>
      </w:pPr>
      <w:r w:rsidRPr="00EA23A9">
        <w:t>3205s</w:t>
      </w:r>
      <w:r w:rsidR="00DD4441" w:rsidRPr="00EA23A9">
        <w:t>, quality errors, etc.</w:t>
      </w:r>
      <w:r w:rsidR="00650C70" w:rsidRPr="00EA23A9">
        <w:t xml:space="preserve"> </w:t>
      </w:r>
      <w:r w:rsidR="000A7A2F" w:rsidRPr="00EA23A9">
        <w:t>and prior year’s PAP showing less than FS rating; or</w:t>
      </w:r>
    </w:p>
    <w:p w:rsidR="00650C70" w:rsidRPr="00EA23A9" w:rsidRDefault="00E039FA" w:rsidP="00816246">
      <w:pPr>
        <w:numPr>
          <w:ilvl w:val="1"/>
          <w:numId w:val="10"/>
        </w:numPr>
      </w:pPr>
      <w:r w:rsidRPr="00EA23A9">
        <w:t>Off-cycle</w:t>
      </w:r>
      <w:r w:rsidR="00650C70" w:rsidRPr="00EA23A9">
        <w:t xml:space="preserve"> rating </w:t>
      </w:r>
      <w:r w:rsidR="00F84D21" w:rsidRPr="00EA23A9">
        <w:t>of record</w:t>
      </w:r>
      <w:r w:rsidR="00650C70" w:rsidRPr="00EA23A9">
        <w:t>, signed</w:t>
      </w:r>
      <w:r w:rsidR="00D53209" w:rsidRPr="00EA23A9">
        <w:t xml:space="preserve"> and dated</w:t>
      </w:r>
      <w:r w:rsidR="00650C70" w:rsidRPr="00EA23A9">
        <w:t>, by Director, SPE, and Examiner</w:t>
      </w:r>
    </w:p>
    <w:p w:rsidR="00DE7C04" w:rsidRPr="00EA23A9" w:rsidRDefault="0037561E" w:rsidP="0037561E">
      <w:pPr>
        <w:numPr>
          <w:ilvl w:val="0"/>
          <w:numId w:val="10"/>
        </w:numPr>
      </w:pPr>
      <w:r w:rsidRPr="00EA23A9">
        <w:t>C</w:t>
      </w:r>
      <w:r w:rsidR="00F65E89" w:rsidRPr="00EA23A9">
        <w:t xml:space="preserve">opy of </w:t>
      </w:r>
      <w:r w:rsidR="006F06C0" w:rsidRPr="00EA23A9">
        <w:t>SF52</w:t>
      </w:r>
      <w:r w:rsidRPr="00EA23A9">
        <w:t xml:space="preserve"> </w:t>
      </w:r>
      <w:r w:rsidR="00086663" w:rsidRPr="00EA23A9">
        <w:t xml:space="preserve">entitled </w:t>
      </w:r>
      <w:r w:rsidRPr="00EA23A9">
        <w:t>“Denial of WGI”</w:t>
      </w:r>
    </w:p>
    <w:p w:rsidR="0037561E" w:rsidRPr="00EA23A9" w:rsidRDefault="0037561E" w:rsidP="00EC6A16"/>
    <w:p w:rsidR="0037561E" w:rsidRPr="00EA23A9" w:rsidRDefault="0037561E" w:rsidP="00EC6A16">
      <w:pPr>
        <w:rPr>
          <w:b/>
        </w:rPr>
      </w:pPr>
      <w:r w:rsidRPr="00EA23A9">
        <w:rPr>
          <w:b/>
        </w:rPr>
        <w:t>5)  ER will provide</w:t>
      </w:r>
      <w:r w:rsidR="00C41E93" w:rsidRPr="00EA23A9">
        <w:rPr>
          <w:b/>
        </w:rPr>
        <w:t xml:space="preserve"> a WGI denial letter to the SPE</w:t>
      </w:r>
      <w:r w:rsidR="00072A10" w:rsidRPr="00EA23A9">
        <w:rPr>
          <w:b/>
        </w:rPr>
        <w:t>.</w:t>
      </w:r>
    </w:p>
    <w:p w:rsidR="00D12046" w:rsidRPr="00EA23A9" w:rsidRDefault="00D12046" w:rsidP="00EC6A16">
      <w:pPr>
        <w:rPr>
          <w:b/>
        </w:rPr>
      </w:pPr>
    </w:p>
    <w:p w:rsidR="00F65E89" w:rsidRPr="00EA23A9" w:rsidRDefault="0037561E" w:rsidP="00EC6A16">
      <w:r w:rsidRPr="00EA23A9">
        <w:rPr>
          <w:b/>
        </w:rPr>
        <w:t xml:space="preserve">6)  </w:t>
      </w:r>
      <w:r w:rsidR="00903CB0" w:rsidRPr="00EA23A9">
        <w:rPr>
          <w:b/>
        </w:rPr>
        <w:t xml:space="preserve">Provide </w:t>
      </w:r>
      <w:r w:rsidR="00650C70" w:rsidRPr="00EA23A9">
        <w:rPr>
          <w:b/>
        </w:rPr>
        <w:t>Examiner</w:t>
      </w:r>
      <w:r w:rsidR="000A7A2F" w:rsidRPr="00EA23A9">
        <w:rPr>
          <w:b/>
        </w:rPr>
        <w:t xml:space="preserve"> with</w:t>
      </w:r>
      <w:r w:rsidR="00650C70" w:rsidRPr="00EA23A9">
        <w:rPr>
          <w:b/>
        </w:rPr>
        <w:t xml:space="preserve"> </w:t>
      </w:r>
      <w:r w:rsidR="00903CB0" w:rsidRPr="00EA23A9">
        <w:rPr>
          <w:b/>
        </w:rPr>
        <w:t xml:space="preserve">a copy </w:t>
      </w:r>
      <w:r w:rsidR="00903CB0" w:rsidRPr="00EA23A9">
        <w:t>of the WGI denial letter and annotate a copy noting delivery</w:t>
      </w:r>
      <w:r w:rsidR="00650C70" w:rsidRPr="00EA23A9">
        <w:t xml:space="preserve"> (sign/date)</w:t>
      </w:r>
      <w:r w:rsidRPr="00EA23A9">
        <w:t>.  P</w:t>
      </w:r>
      <w:r w:rsidR="006B43DA" w:rsidRPr="00EA23A9">
        <w:t>rovide a PDF copy</w:t>
      </w:r>
      <w:r w:rsidR="00C41E93" w:rsidRPr="00EA23A9">
        <w:t xml:space="preserve"> of the annotated letter</w:t>
      </w:r>
      <w:r w:rsidR="006B43DA" w:rsidRPr="00EA23A9">
        <w:t xml:space="preserve"> to the </w:t>
      </w:r>
      <w:r w:rsidR="00622826" w:rsidRPr="00EA23A9">
        <w:t>TC-</w:t>
      </w:r>
      <w:r w:rsidR="000A7A2F" w:rsidRPr="00EA23A9">
        <w:t>ER Liaison</w:t>
      </w:r>
      <w:r w:rsidR="006B43DA" w:rsidRPr="00EA23A9">
        <w:t xml:space="preserve"> </w:t>
      </w:r>
      <w:r w:rsidR="00903CB0" w:rsidRPr="00EA23A9">
        <w:t xml:space="preserve">to retain on SharePoint </w:t>
      </w:r>
      <w:r w:rsidR="00627E60" w:rsidRPr="00EA23A9">
        <w:t>and ER Specialist</w:t>
      </w:r>
      <w:r w:rsidR="00903CB0" w:rsidRPr="00EA23A9">
        <w:t xml:space="preserve"> to retain in the ER file</w:t>
      </w:r>
      <w:r w:rsidR="006B43DA" w:rsidRPr="00EA23A9">
        <w:t>.</w:t>
      </w:r>
      <w:r w:rsidR="00F84D21" w:rsidRPr="00EA23A9">
        <w:t xml:space="preserve"> If transmitted to the examiner electronically, include a PDF copy of the e-mail.  </w:t>
      </w:r>
    </w:p>
    <w:p w:rsidR="0037561E" w:rsidRPr="00EA23A9" w:rsidRDefault="0037561E" w:rsidP="00EC6A16"/>
    <w:p w:rsidR="00C41E93" w:rsidRPr="00EA23A9" w:rsidRDefault="001B707D" w:rsidP="00EC6A16">
      <w:r>
        <w:rPr>
          <w:b/>
          <w:u w:val="single"/>
        </w:rPr>
        <w:br w:type="page"/>
      </w:r>
      <w:r w:rsidR="00631742" w:rsidRPr="00EA23A9">
        <w:rPr>
          <w:b/>
          <w:u w:val="single"/>
        </w:rPr>
        <w:lastRenderedPageBreak/>
        <w:t>R</w:t>
      </w:r>
      <w:r w:rsidR="00D8238B" w:rsidRPr="00EA23A9">
        <w:rPr>
          <w:b/>
          <w:u w:val="single"/>
        </w:rPr>
        <w:t>E</w:t>
      </w:r>
      <w:r w:rsidR="00556F24" w:rsidRPr="00EA23A9">
        <w:rPr>
          <w:b/>
          <w:u w:val="single"/>
        </w:rPr>
        <w:t>EVALUATION</w:t>
      </w:r>
      <w:r w:rsidR="00C41E93" w:rsidRPr="00EA23A9">
        <w:t xml:space="preserve">: </w:t>
      </w:r>
    </w:p>
    <w:p w:rsidR="00631742" w:rsidRPr="00EA23A9" w:rsidRDefault="00631742" w:rsidP="00EC6A16"/>
    <w:p w:rsidR="00207FCD" w:rsidRPr="00EA23A9" w:rsidRDefault="00207FCD" w:rsidP="00207FCD">
      <w:pPr>
        <w:numPr>
          <w:ilvl w:val="0"/>
          <w:numId w:val="21"/>
        </w:numPr>
      </w:pPr>
      <w:r w:rsidRPr="00EA23A9">
        <w:t>Following a WGI denial, the SPE should review the performance of the employ</w:t>
      </w:r>
      <w:r w:rsidR="00592CE7">
        <w:t>ee</w:t>
      </w:r>
      <w:r w:rsidRPr="00EA23A9">
        <w:t xml:space="preserve"> at the end of the first </w:t>
      </w:r>
      <w:r w:rsidRPr="00EA23A9">
        <w:rPr>
          <w:u w:val="single"/>
        </w:rPr>
        <w:t>full</w:t>
      </w:r>
      <w:r w:rsidRPr="00EA23A9">
        <w:t xml:space="preserve"> quarter after the WGI is denied to determine whether the employee’s year to date performance is at least at the fully successful level.  If the period between the WGI denial and the end of the first full quarter is less than 90 days, this review should take place at the end of the first pay period in which 90 days has passed.  </w:t>
      </w:r>
      <w:r w:rsidR="00592CE7">
        <w:t xml:space="preserve">Similarly, 90 days must pass before a review following the end of year rating for a review. </w:t>
      </w:r>
      <w:r w:rsidRPr="00EA23A9">
        <w:t>This is not a reconsideration of the denial under 5 C.F.R. §5</w:t>
      </w:r>
      <w:r w:rsidR="00AE6A1D">
        <w:t>3</w:t>
      </w:r>
      <w:r w:rsidRPr="00EA23A9">
        <w:t xml:space="preserve">1.404, but rather an informal review to see if the employee’s performance has improved.  </w:t>
      </w:r>
    </w:p>
    <w:p w:rsidR="00207FCD" w:rsidRPr="00EA23A9" w:rsidRDefault="00207FCD" w:rsidP="00207FCD">
      <w:pPr>
        <w:numPr>
          <w:ilvl w:val="1"/>
          <w:numId w:val="21"/>
        </w:numPr>
        <w:ind w:left="1080"/>
      </w:pPr>
      <w:r w:rsidRPr="00EA23A9">
        <w:t xml:space="preserve">If the employee’s performance has improved so that the employee is performing year to date at the fully successful level, the supervisor will rerate the employee and submit the necessary forms to grant the WGI.  </w:t>
      </w:r>
    </w:p>
    <w:p w:rsidR="00207FCD" w:rsidRPr="00EA23A9" w:rsidRDefault="00207FCD" w:rsidP="00207FCD">
      <w:pPr>
        <w:numPr>
          <w:ilvl w:val="1"/>
          <w:numId w:val="21"/>
        </w:numPr>
        <w:ind w:left="1080"/>
      </w:pPr>
      <w:r w:rsidRPr="00EA23A9">
        <w:t xml:space="preserve">If the employee’s performance is not fully successful, no action is necessary (unless an end of year rating is needed), other than to be prepared to talk to the examiner about the reasons why the performance is not at least FS.  A decision not to grant a WGI is grievable under the negotiated grievance procedure.    </w:t>
      </w:r>
    </w:p>
    <w:p w:rsidR="00207FCD" w:rsidRPr="00EA23A9" w:rsidRDefault="00207FCD" w:rsidP="00207FCD"/>
    <w:p w:rsidR="00207FCD" w:rsidRPr="00EA23A9" w:rsidRDefault="00207FCD" w:rsidP="00207FCD">
      <w:pPr>
        <w:numPr>
          <w:ilvl w:val="0"/>
          <w:numId w:val="21"/>
        </w:numPr>
      </w:pPr>
      <w:r w:rsidRPr="00EA23A9">
        <w:t>A similar review will be conducted at the end of each quarter for the next two quarters following the initial informal review</w:t>
      </w:r>
      <w:r w:rsidR="00592CE7">
        <w:t xml:space="preserve"> (with the possible exception of the first quarter as noted above)</w:t>
      </w:r>
      <w:r w:rsidRPr="00EA23A9">
        <w:t xml:space="preserve">.  (WGI denied in Q1, first review after Q2, and additional informal reviews after Q3 and Q4).  </w:t>
      </w:r>
    </w:p>
    <w:p w:rsidR="00207FCD" w:rsidRPr="00EA23A9" w:rsidRDefault="00207FCD" w:rsidP="00207FCD"/>
    <w:p w:rsidR="00207FCD" w:rsidRPr="00EA23A9" w:rsidRDefault="00207FCD" w:rsidP="00207FCD">
      <w:pPr>
        <w:numPr>
          <w:ilvl w:val="0"/>
          <w:numId w:val="21"/>
        </w:numPr>
      </w:pPr>
      <w:r w:rsidRPr="00EA23A9">
        <w:t xml:space="preserve">If the employee has not been granted a WGI based on the end of year rating or an informal review, the supervisor must reconsider the decision to deny the WGI pursuant to 5 C.F.R. §531.404 at the anniversary date of the initial denial and the process as described above will be repeated.  </w:t>
      </w:r>
    </w:p>
    <w:p w:rsidR="00207FCD" w:rsidRPr="00EA23A9" w:rsidRDefault="00207FCD" w:rsidP="00EC6A16"/>
    <w:p w:rsidR="009C4A02" w:rsidRPr="00EA23A9" w:rsidRDefault="009C4A02" w:rsidP="00CC530B">
      <w:pPr>
        <w:rPr>
          <w:b/>
          <w:u w:val="single"/>
        </w:rPr>
      </w:pPr>
    </w:p>
    <w:p w:rsidR="009C4A02" w:rsidRPr="00EA23A9" w:rsidRDefault="009C4A02" w:rsidP="009C4A02">
      <w:pPr>
        <w:rPr>
          <w:b/>
        </w:rPr>
      </w:pPr>
      <w:r w:rsidRPr="00EA23A9">
        <w:rPr>
          <w:b/>
          <w:u w:val="single"/>
        </w:rPr>
        <w:t xml:space="preserve">To Grant WGI </w:t>
      </w:r>
      <w:r w:rsidRPr="00EA23A9">
        <w:rPr>
          <w:u w:val="single"/>
        </w:rPr>
        <w:t>after being previously denied:</w:t>
      </w:r>
      <w:r w:rsidRPr="00EA23A9">
        <w:rPr>
          <w:b/>
        </w:rPr>
        <w:t xml:space="preserve">  </w:t>
      </w:r>
    </w:p>
    <w:p w:rsidR="00044D29" w:rsidRPr="00EA23A9" w:rsidRDefault="00044D29" w:rsidP="009C4A02">
      <w:pPr>
        <w:rPr>
          <w:b/>
        </w:rPr>
      </w:pPr>
    </w:p>
    <w:p w:rsidR="009C4A02" w:rsidRPr="00EA23A9" w:rsidRDefault="009C4A02" w:rsidP="009C4A02">
      <w:r w:rsidRPr="00EA23A9">
        <w:t xml:space="preserve">If a WGI was denied previously and the examiner </w:t>
      </w:r>
      <w:r w:rsidRPr="00EA23A9">
        <w:rPr>
          <w:b/>
        </w:rPr>
        <w:t>has improved</w:t>
      </w:r>
      <w:r w:rsidRPr="00EA23A9">
        <w:t xml:space="preserve"> to FS in all critical elements</w:t>
      </w:r>
      <w:r w:rsidR="0043351F" w:rsidRPr="00EA23A9">
        <w:t xml:space="preserve">, </w:t>
      </w:r>
      <w:r w:rsidRPr="00EA23A9">
        <w:t xml:space="preserve">a </w:t>
      </w:r>
      <w:r w:rsidR="00F84D21" w:rsidRPr="00EA23A9">
        <w:t xml:space="preserve">new </w:t>
      </w:r>
      <w:r w:rsidRPr="00EA23A9">
        <w:t xml:space="preserve">ROR </w:t>
      </w:r>
      <w:r w:rsidR="00A45C12" w:rsidRPr="00EA23A9">
        <w:t xml:space="preserve">is needed to </w:t>
      </w:r>
      <w:r w:rsidRPr="00EA23A9">
        <w:t>support</w:t>
      </w:r>
      <w:r w:rsidR="00A45C12" w:rsidRPr="00EA23A9">
        <w:t xml:space="preserve"> a WGI grant</w:t>
      </w:r>
      <w:r w:rsidRPr="00EA23A9">
        <w:t xml:space="preserve"> – either an EOY ROR (even if before the 1 year “waiting” period mentioned in the WGI denial letter) or an </w:t>
      </w:r>
      <w:r w:rsidR="00F84D21" w:rsidRPr="00EA23A9">
        <w:t>off-cycle</w:t>
      </w:r>
      <w:r w:rsidRPr="00EA23A9">
        <w:t xml:space="preserve"> ROR </w:t>
      </w:r>
      <w:r w:rsidR="00F84D21" w:rsidRPr="00EA23A9">
        <w:t xml:space="preserve">generated in order to support a WGI grant.  </w:t>
      </w:r>
      <w:r w:rsidR="002569D0" w:rsidRPr="00EA23A9">
        <w:t>See the “Reevaluation Period” section above regarding the timing of reevaluation.</w:t>
      </w:r>
      <w:r w:rsidR="0043351F" w:rsidRPr="00EA23A9">
        <w:t xml:space="preserve">  </w:t>
      </w:r>
    </w:p>
    <w:p w:rsidR="009C4A02" w:rsidRPr="00EA23A9" w:rsidRDefault="009C4A02" w:rsidP="009C4A02"/>
    <w:p w:rsidR="009C4A02" w:rsidRPr="00EA23A9" w:rsidRDefault="009C4A02" w:rsidP="009C4A02">
      <w:pPr>
        <w:rPr>
          <w:sz w:val="12"/>
          <w:szCs w:val="12"/>
        </w:rPr>
      </w:pPr>
    </w:p>
    <w:p w:rsidR="009C4A02" w:rsidRPr="00EA23A9" w:rsidRDefault="00A45C12" w:rsidP="009C4A02">
      <w:r w:rsidRPr="00EA23A9">
        <w:rPr>
          <w:b/>
        </w:rPr>
        <w:t xml:space="preserve">1)  Discuss with </w:t>
      </w:r>
      <w:r w:rsidR="009C4A02" w:rsidRPr="00EA23A9">
        <w:rPr>
          <w:b/>
        </w:rPr>
        <w:t xml:space="preserve">TC-ER </w:t>
      </w:r>
      <w:r w:rsidRPr="00EA23A9">
        <w:rPr>
          <w:b/>
        </w:rPr>
        <w:t>Liaison</w:t>
      </w:r>
      <w:r w:rsidR="009C4A02" w:rsidRPr="00EA23A9">
        <w:rPr>
          <w:b/>
        </w:rPr>
        <w:t xml:space="preserve"> and </w:t>
      </w:r>
      <w:r w:rsidRPr="00EA23A9">
        <w:rPr>
          <w:b/>
        </w:rPr>
        <w:t xml:space="preserve">TC </w:t>
      </w:r>
      <w:r w:rsidR="009C4A02" w:rsidRPr="00EA23A9">
        <w:rPr>
          <w:b/>
        </w:rPr>
        <w:t xml:space="preserve">Director </w:t>
      </w:r>
      <w:r w:rsidR="009C4A02" w:rsidRPr="00EA23A9">
        <w:t>as needed</w:t>
      </w:r>
      <w:r w:rsidR="009C4A02" w:rsidRPr="00EA23A9">
        <w:rPr>
          <w:b/>
        </w:rPr>
        <w:t xml:space="preserve"> </w:t>
      </w:r>
      <w:r w:rsidR="009C4A02" w:rsidRPr="00EA23A9">
        <w:t xml:space="preserve">(Director’s signature will be needed on any </w:t>
      </w:r>
      <w:r w:rsidR="002569D0" w:rsidRPr="00EA23A9">
        <w:t>ROR</w:t>
      </w:r>
      <w:r w:rsidR="009C4A02" w:rsidRPr="00EA23A9">
        <w:t xml:space="preserve"> and SF52).  </w:t>
      </w:r>
    </w:p>
    <w:p w:rsidR="009C4A02" w:rsidRPr="00EA23A9" w:rsidRDefault="009C4A02" w:rsidP="009C4A02"/>
    <w:p w:rsidR="009C4A02" w:rsidRPr="00EA23A9" w:rsidRDefault="009C4A02" w:rsidP="009C4A02">
      <w:r w:rsidRPr="00EA23A9">
        <w:rPr>
          <w:b/>
        </w:rPr>
        <w:t xml:space="preserve">2)  Complete </w:t>
      </w:r>
      <w:r w:rsidR="002569D0" w:rsidRPr="00EA23A9">
        <w:rPr>
          <w:b/>
        </w:rPr>
        <w:t>Off-Cycle</w:t>
      </w:r>
      <w:r w:rsidRPr="00EA23A9">
        <w:rPr>
          <w:b/>
        </w:rPr>
        <w:t xml:space="preserve"> ROR</w:t>
      </w:r>
      <w:r w:rsidRPr="00EA23A9">
        <w:t xml:space="preserve"> as needed.</w:t>
      </w:r>
    </w:p>
    <w:p w:rsidR="009C4A02" w:rsidRPr="00EA23A9" w:rsidRDefault="009C4A02" w:rsidP="009C4A02"/>
    <w:p w:rsidR="009C4A02" w:rsidRPr="00EA23A9" w:rsidRDefault="009C4A02" w:rsidP="009C4A02">
      <w:r w:rsidRPr="00EA23A9">
        <w:rPr>
          <w:b/>
        </w:rPr>
        <w:t>3)  Complete an</w:t>
      </w:r>
      <w:r w:rsidRPr="00EA23A9">
        <w:t xml:space="preserve"> </w:t>
      </w:r>
      <w:r w:rsidRPr="00EA23A9">
        <w:rPr>
          <w:b/>
        </w:rPr>
        <w:t>SF-52</w:t>
      </w:r>
      <w:r w:rsidRPr="00EA23A9">
        <w:t xml:space="preserve"> entitled “Grant of WGI”.   SPE and Director sign</w:t>
      </w:r>
      <w:r w:rsidR="00D53209" w:rsidRPr="00EA23A9">
        <w:t xml:space="preserve"> and date</w:t>
      </w:r>
      <w:r w:rsidRPr="00EA23A9">
        <w:t>.</w:t>
      </w:r>
    </w:p>
    <w:p w:rsidR="009C4A02" w:rsidRPr="00EA23A9" w:rsidRDefault="009C4A02" w:rsidP="009C4A02"/>
    <w:p w:rsidR="009C4A02" w:rsidRPr="00EA23A9" w:rsidRDefault="009C4A02" w:rsidP="009C4A02">
      <w:pPr>
        <w:rPr>
          <w:b/>
        </w:rPr>
      </w:pPr>
      <w:r w:rsidRPr="00EA23A9">
        <w:rPr>
          <w:b/>
        </w:rPr>
        <w:t xml:space="preserve">4)  Provide the following to a TC-ER </w:t>
      </w:r>
      <w:r w:rsidR="00A45C12" w:rsidRPr="00EA23A9">
        <w:rPr>
          <w:b/>
        </w:rPr>
        <w:t>Liaison</w:t>
      </w:r>
      <w:r w:rsidRPr="00EA23A9">
        <w:rPr>
          <w:b/>
        </w:rPr>
        <w:t>, who will forward to ER, for the WGI denial:</w:t>
      </w:r>
    </w:p>
    <w:p w:rsidR="009C4A02" w:rsidRPr="00EA23A9" w:rsidRDefault="009C4A02" w:rsidP="00D9221A">
      <w:pPr>
        <w:numPr>
          <w:ilvl w:val="0"/>
          <w:numId w:val="10"/>
        </w:numPr>
      </w:pPr>
      <w:r w:rsidRPr="00EA23A9">
        <w:t xml:space="preserve">ROR (either from end of previous FY or an </w:t>
      </w:r>
      <w:r w:rsidR="002569D0" w:rsidRPr="00EA23A9">
        <w:t xml:space="preserve">off-cycle </w:t>
      </w:r>
      <w:r w:rsidRPr="00EA23A9">
        <w:t>rating)</w:t>
      </w:r>
    </w:p>
    <w:p w:rsidR="009C4A02" w:rsidRPr="00EA23A9" w:rsidRDefault="009C4A02" w:rsidP="009C4A02">
      <w:pPr>
        <w:numPr>
          <w:ilvl w:val="0"/>
          <w:numId w:val="10"/>
        </w:numPr>
      </w:pPr>
      <w:r w:rsidRPr="00EA23A9">
        <w:lastRenderedPageBreak/>
        <w:t xml:space="preserve">Copy of SF52 entitled “Grant of WGI” </w:t>
      </w:r>
    </w:p>
    <w:p w:rsidR="009C4A02" w:rsidRPr="00EA23A9" w:rsidRDefault="009C4A02" w:rsidP="009C4A02"/>
    <w:p w:rsidR="00B033C9" w:rsidRPr="00EA23A9" w:rsidRDefault="00F306F1" w:rsidP="00CC530B">
      <w:pPr>
        <w:rPr>
          <w:u w:val="single"/>
        </w:rPr>
      </w:pPr>
      <w:r w:rsidRPr="00EA23A9">
        <w:rPr>
          <w:b/>
          <w:u w:val="single"/>
        </w:rPr>
        <w:t>Common Abbreviations, Terms</w:t>
      </w:r>
      <w:r w:rsidR="00B033C9" w:rsidRPr="00EA23A9">
        <w:rPr>
          <w:u w:val="single"/>
        </w:rPr>
        <w:t>:</w:t>
      </w:r>
    </w:p>
    <w:p w:rsidR="00044D29" w:rsidRPr="00EA23A9" w:rsidRDefault="00044D29" w:rsidP="00CC530B"/>
    <w:p w:rsidR="00B033C9" w:rsidRPr="00EA23A9" w:rsidRDefault="00B033C9" w:rsidP="0043351F">
      <w:pPr>
        <w:numPr>
          <w:ilvl w:val="0"/>
          <w:numId w:val="18"/>
        </w:numPr>
      </w:pPr>
      <w:r w:rsidRPr="00EA23A9">
        <w:t>WGI</w:t>
      </w:r>
      <w:r w:rsidR="00C41E93" w:rsidRPr="00EA23A9">
        <w:t xml:space="preserve"> =</w:t>
      </w:r>
      <w:r w:rsidRPr="00EA23A9">
        <w:t xml:space="preserve"> Within Grade Increase</w:t>
      </w:r>
      <w:r w:rsidR="00F306F1" w:rsidRPr="00EA23A9">
        <w:t xml:space="preserve"> (a.k.a. </w:t>
      </w:r>
      <w:r w:rsidR="00840D51" w:rsidRPr="00EA23A9">
        <w:t>st</w:t>
      </w:r>
      <w:r w:rsidR="00F306F1" w:rsidRPr="00EA23A9">
        <w:t>ep increase)</w:t>
      </w:r>
      <w:r w:rsidR="00840D51" w:rsidRPr="00EA23A9">
        <w:t xml:space="preserve"> is a pay increase w/out any increase in production</w:t>
      </w:r>
    </w:p>
    <w:p w:rsidR="00B033C9" w:rsidRPr="00EA23A9" w:rsidRDefault="00B033C9" w:rsidP="0043351F">
      <w:pPr>
        <w:numPr>
          <w:ilvl w:val="0"/>
          <w:numId w:val="18"/>
        </w:numPr>
      </w:pPr>
      <w:r w:rsidRPr="00EA23A9">
        <w:t>ROR = rating of record –at the end of the fiscal year (FY)</w:t>
      </w:r>
      <w:r w:rsidR="002569D0" w:rsidRPr="00EA23A9">
        <w:t xml:space="preserve"> and off-cycle if needed to grant or deny a WGI.</w:t>
      </w:r>
    </w:p>
    <w:p w:rsidR="00840D51" w:rsidRPr="00EA23A9" w:rsidRDefault="002569D0" w:rsidP="0043351F">
      <w:pPr>
        <w:numPr>
          <w:ilvl w:val="0"/>
          <w:numId w:val="18"/>
        </w:numPr>
      </w:pPr>
      <w:r w:rsidRPr="00EA23A9">
        <w:t>Off-cycle</w:t>
      </w:r>
      <w:r w:rsidR="00840D51" w:rsidRPr="00EA23A9">
        <w:t xml:space="preserve"> Ratings – </w:t>
      </w:r>
      <w:r w:rsidRPr="00EA23A9">
        <w:t>Rating of Record generated to</w:t>
      </w:r>
      <w:r w:rsidR="00840D51" w:rsidRPr="00EA23A9">
        <w:t xml:space="preserve"> grant or deny a WG</w:t>
      </w:r>
      <w:r w:rsidR="00840D51" w:rsidRPr="00156909">
        <w:rPr>
          <w:highlight w:val="lightGray"/>
        </w:rPr>
        <w:t>I</w:t>
      </w:r>
    </w:p>
    <w:p w:rsidR="00B033C9" w:rsidRPr="00EA23A9" w:rsidRDefault="00F306F1" w:rsidP="0043351F">
      <w:pPr>
        <w:numPr>
          <w:ilvl w:val="0"/>
          <w:numId w:val="18"/>
        </w:numPr>
      </w:pPr>
      <w:r w:rsidRPr="00EA23A9">
        <w:t>Mid-</w:t>
      </w:r>
      <w:r w:rsidR="00840D51" w:rsidRPr="00EA23A9">
        <w:t>year</w:t>
      </w:r>
      <w:r w:rsidRPr="00EA23A9">
        <w:t xml:space="preserve"> (MY)</w:t>
      </w:r>
      <w:r w:rsidR="00B033C9" w:rsidRPr="00EA23A9">
        <w:t xml:space="preserve"> </w:t>
      </w:r>
      <w:r w:rsidR="00A45C12" w:rsidRPr="00EA23A9">
        <w:t>review</w:t>
      </w:r>
      <w:r w:rsidR="003D4764" w:rsidRPr="00EA23A9">
        <w:t>s</w:t>
      </w:r>
      <w:r w:rsidR="00B033C9" w:rsidRPr="00EA23A9">
        <w:t xml:space="preserve"> are only</w:t>
      </w:r>
      <w:r w:rsidR="001B707D">
        <w:t xml:space="preserve"> </w:t>
      </w:r>
      <w:r w:rsidR="003D4764" w:rsidRPr="00EA23A9">
        <w:rPr>
          <w:u w:val="single"/>
        </w:rPr>
        <w:t>progress reviews</w:t>
      </w:r>
      <w:r w:rsidR="00B033C9" w:rsidRPr="00EA23A9">
        <w:t>– not a rating of record</w:t>
      </w:r>
    </w:p>
    <w:p w:rsidR="00F65E89" w:rsidRPr="00EA23A9" w:rsidRDefault="00F65E89" w:rsidP="0043351F">
      <w:pPr>
        <w:numPr>
          <w:ilvl w:val="0"/>
          <w:numId w:val="18"/>
        </w:numPr>
      </w:pPr>
      <w:r w:rsidRPr="00EA23A9">
        <w:t xml:space="preserve">FS = </w:t>
      </w:r>
      <w:r w:rsidR="000D501F" w:rsidRPr="00EA23A9">
        <w:t>F</w:t>
      </w:r>
      <w:r w:rsidRPr="00EA23A9">
        <w:t xml:space="preserve">ully </w:t>
      </w:r>
      <w:r w:rsidR="000D501F" w:rsidRPr="00EA23A9">
        <w:t>S</w:t>
      </w:r>
      <w:r w:rsidRPr="00EA23A9">
        <w:t>uccessful</w:t>
      </w:r>
    </w:p>
    <w:p w:rsidR="00D01C45" w:rsidRPr="00EA23A9" w:rsidRDefault="002569D0" w:rsidP="0043351F">
      <w:pPr>
        <w:numPr>
          <w:ilvl w:val="0"/>
          <w:numId w:val="18"/>
        </w:numPr>
      </w:pPr>
      <w:r w:rsidRPr="00EA23A9">
        <w:t>E</w:t>
      </w:r>
      <w:r w:rsidR="00D01C45" w:rsidRPr="00EA23A9">
        <w:t xml:space="preserve">PF = </w:t>
      </w:r>
      <w:r w:rsidRPr="00EA23A9">
        <w:t>Employee Performance</w:t>
      </w:r>
      <w:r w:rsidR="00111C5F" w:rsidRPr="00EA23A9">
        <w:t xml:space="preserve"> Folder</w:t>
      </w:r>
      <w:r w:rsidRPr="00EA23A9">
        <w:t xml:space="preserve"> (available in </w:t>
      </w:r>
      <w:r w:rsidR="003F0975" w:rsidRPr="00EA23A9">
        <w:t>the electronic Official Personnel Folder or eOPF</w:t>
      </w:r>
      <w:r w:rsidRPr="00EA23A9">
        <w:t>)</w:t>
      </w:r>
    </w:p>
    <w:p w:rsidR="009C4A02" w:rsidRPr="00EA23A9" w:rsidRDefault="009C4A02" w:rsidP="00CC530B"/>
    <w:p w:rsidR="00072A10" w:rsidRPr="00EA23A9" w:rsidRDefault="00072A10" w:rsidP="00072A10">
      <w:pPr>
        <w:rPr>
          <w:b/>
          <w:u w:val="single"/>
        </w:rPr>
      </w:pPr>
      <w:r w:rsidRPr="00EA23A9">
        <w:rPr>
          <w:b/>
          <w:u w:val="single"/>
        </w:rPr>
        <w:t>WGI (step increase) schedule:</w:t>
      </w:r>
    </w:p>
    <w:p w:rsidR="00072A10" w:rsidRPr="00EA23A9" w:rsidRDefault="00072A10" w:rsidP="00072A10">
      <w:r w:rsidRPr="00EA23A9">
        <w:t>Step 1 to Step 2</w:t>
      </w:r>
      <w:r w:rsidRPr="00EA23A9">
        <w:tab/>
      </w:r>
      <w:r w:rsidR="000D501F" w:rsidRPr="00EA23A9">
        <w:t>52 weeks</w:t>
      </w:r>
    </w:p>
    <w:p w:rsidR="00072A10" w:rsidRPr="00EA23A9" w:rsidRDefault="00072A10" w:rsidP="00072A10">
      <w:r w:rsidRPr="00EA23A9">
        <w:t>Step 2 to Step 3</w:t>
      </w:r>
      <w:r w:rsidRPr="00EA23A9">
        <w:tab/>
      </w:r>
      <w:r w:rsidR="000D501F" w:rsidRPr="00EA23A9">
        <w:t>52 weeks</w:t>
      </w:r>
    </w:p>
    <w:p w:rsidR="00072A10" w:rsidRPr="00EA23A9" w:rsidRDefault="00072A10" w:rsidP="00072A10">
      <w:pPr>
        <w:rPr>
          <w:u w:val="single"/>
        </w:rPr>
      </w:pPr>
      <w:r w:rsidRPr="00EA23A9">
        <w:rPr>
          <w:u w:val="single"/>
        </w:rPr>
        <w:t>Step 3 to Step 4</w:t>
      </w:r>
      <w:r w:rsidRPr="00EA23A9">
        <w:rPr>
          <w:u w:val="single"/>
        </w:rPr>
        <w:tab/>
      </w:r>
      <w:r w:rsidR="000D501F" w:rsidRPr="00EA23A9">
        <w:rPr>
          <w:u w:val="single"/>
        </w:rPr>
        <w:t>52 weeks</w:t>
      </w:r>
    </w:p>
    <w:p w:rsidR="00072A10" w:rsidRPr="00EA23A9" w:rsidRDefault="00072A10" w:rsidP="00072A10">
      <w:r w:rsidRPr="00EA23A9">
        <w:t>Step 4 to Step 5</w:t>
      </w:r>
      <w:r w:rsidRPr="00EA23A9">
        <w:tab/>
      </w:r>
      <w:r w:rsidR="000D501F" w:rsidRPr="00EA23A9">
        <w:t>104 weeks</w:t>
      </w:r>
    </w:p>
    <w:p w:rsidR="00072A10" w:rsidRPr="00EA23A9" w:rsidRDefault="00072A10" w:rsidP="00072A10">
      <w:r w:rsidRPr="00EA23A9">
        <w:t>Step 5 to Step 6</w:t>
      </w:r>
      <w:r w:rsidRPr="00EA23A9">
        <w:tab/>
      </w:r>
      <w:r w:rsidR="000D501F" w:rsidRPr="00EA23A9">
        <w:t>104 weeks</w:t>
      </w:r>
    </w:p>
    <w:p w:rsidR="00072A10" w:rsidRPr="00EA23A9" w:rsidRDefault="00072A10" w:rsidP="00072A10">
      <w:pPr>
        <w:rPr>
          <w:u w:val="single"/>
        </w:rPr>
      </w:pPr>
      <w:r w:rsidRPr="00EA23A9">
        <w:rPr>
          <w:u w:val="single"/>
        </w:rPr>
        <w:t>Step 6 to Step 7</w:t>
      </w:r>
      <w:r w:rsidRPr="00EA23A9">
        <w:rPr>
          <w:u w:val="single"/>
        </w:rPr>
        <w:tab/>
      </w:r>
      <w:r w:rsidR="000D501F" w:rsidRPr="00EA23A9">
        <w:rPr>
          <w:u w:val="single"/>
        </w:rPr>
        <w:t>104 weeks</w:t>
      </w:r>
    </w:p>
    <w:p w:rsidR="00072A10" w:rsidRPr="00EA23A9" w:rsidRDefault="00072A10" w:rsidP="00072A10">
      <w:r w:rsidRPr="00EA23A9">
        <w:t>Step 7 to Step 8</w:t>
      </w:r>
      <w:r w:rsidRPr="00EA23A9">
        <w:tab/>
      </w:r>
      <w:r w:rsidR="000D501F" w:rsidRPr="00EA23A9">
        <w:t>156 weeks</w:t>
      </w:r>
    </w:p>
    <w:p w:rsidR="00072A10" w:rsidRPr="00EA23A9" w:rsidRDefault="00072A10" w:rsidP="00072A10">
      <w:r w:rsidRPr="00EA23A9">
        <w:t>Step 8 to Step 9</w:t>
      </w:r>
      <w:r w:rsidRPr="00EA23A9">
        <w:tab/>
      </w:r>
      <w:r w:rsidR="000D501F" w:rsidRPr="00EA23A9">
        <w:t>156 weeks</w:t>
      </w:r>
    </w:p>
    <w:p w:rsidR="00072A10" w:rsidRPr="00EA23A9" w:rsidRDefault="00072A10" w:rsidP="00072A10">
      <w:pPr>
        <w:rPr>
          <w:u w:val="single"/>
        </w:rPr>
      </w:pPr>
      <w:r w:rsidRPr="00EA23A9">
        <w:rPr>
          <w:u w:val="single"/>
        </w:rPr>
        <w:t>Step 9 to Step 10</w:t>
      </w:r>
      <w:r w:rsidRPr="00EA23A9">
        <w:rPr>
          <w:u w:val="single"/>
        </w:rPr>
        <w:tab/>
      </w:r>
      <w:r w:rsidR="000D501F" w:rsidRPr="00EA23A9">
        <w:rPr>
          <w:u w:val="single"/>
        </w:rPr>
        <w:t>156 weeks</w:t>
      </w:r>
    </w:p>
    <w:p w:rsidR="00044D29" w:rsidRPr="00EA23A9" w:rsidRDefault="00044D29" w:rsidP="00FB2DB3">
      <w:pPr>
        <w:jc w:val="center"/>
      </w:pPr>
    </w:p>
    <w:p w:rsidR="00504B60" w:rsidRPr="00EA23A9" w:rsidRDefault="00072A10" w:rsidP="00FB2DB3">
      <w:pPr>
        <w:jc w:val="center"/>
      </w:pPr>
      <w:r w:rsidRPr="00EA23A9">
        <w:t>**Can check top of 3205 to see when last WGI was granted and calculate as shown above**</w:t>
      </w:r>
    </w:p>
    <w:p w:rsidR="009C4A02" w:rsidRPr="00EA23A9" w:rsidRDefault="009C4A02" w:rsidP="00FB2DB3">
      <w:pPr>
        <w:jc w:val="center"/>
      </w:pPr>
    </w:p>
    <w:p w:rsidR="003F0975" w:rsidRPr="00EA23A9" w:rsidRDefault="003F0975" w:rsidP="009C4A02">
      <w:pPr>
        <w:rPr>
          <w:bCs/>
        </w:rPr>
      </w:pPr>
    </w:p>
    <w:p w:rsidR="003F0975" w:rsidRPr="00EA23A9" w:rsidRDefault="003F0975" w:rsidP="009C4A02">
      <w:pPr>
        <w:rPr>
          <w:bCs/>
        </w:rPr>
      </w:pPr>
    </w:p>
    <w:p w:rsidR="003F0975" w:rsidRPr="00EA23A9" w:rsidRDefault="003F0975" w:rsidP="003F0975">
      <w:pPr>
        <w:jc w:val="center"/>
        <w:rPr>
          <w:b/>
          <w:bCs/>
        </w:rPr>
      </w:pPr>
      <w:r w:rsidRPr="00EA23A9">
        <w:rPr>
          <w:b/>
          <w:bCs/>
        </w:rPr>
        <w:t>Examples</w:t>
      </w:r>
    </w:p>
    <w:p w:rsidR="003F0975" w:rsidRPr="00EA23A9" w:rsidRDefault="003F0975" w:rsidP="009C4A02">
      <w:pPr>
        <w:rPr>
          <w:bCs/>
        </w:rPr>
      </w:pPr>
    </w:p>
    <w:p w:rsidR="009C4A02" w:rsidRPr="00EA23A9" w:rsidRDefault="009C4A02" w:rsidP="009C4A02">
      <w:pPr>
        <w:rPr>
          <w:bCs/>
        </w:rPr>
      </w:pPr>
      <w:r w:rsidRPr="00EA23A9">
        <w:rPr>
          <w:bCs/>
        </w:rPr>
        <w:t xml:space="preserve">Example #1 ~ An examiner received an Outstanding rating for FY </w:t>
      </w:r>
      <w:r w:rsidR="00E012D3" w:rsidRPr="00EA23A9">
        <w:rPr>
          <w:bCs/>
        </w:rPr>
        <w:t>201</w:t>
      </w:r>
      <w:r w:rsidR="00E012D3">
        <w:rPr>
          <w:bCs/>
        </w:rPr>
        <w:t>3</w:t>
      </w:r>
      <w:r w:rsidRPr="00EA23A9">
        <w:rPr>
          <w:bCs/>
        </w:rPr>
        <w:t xml:space="preserve">, and the WGI is due </w:t>
      </w:r>
      <w:r w:rsidR="003529D0">
        <w:rPr>
          <w:bCs/>
        </w:rPr>
        <w:t xml:space="preserve">during the first 90 days of FY </w:t>
      </w:r>
      <w:r w:rsidR="00E012D3">
        <w:rPr>
          <w:bCs/>
        </w:rPr>
        <w:t>2014</w:t>
      </w:r>
      <w:r w:rsidRPr="00EA23A9">
        <w:rPr>
          <w:bCs/>
        </w:rPr>
        <w:t xml:space="preserve">.  </w:t>
      </w:r>
    </w:p>
    <w:p w:rsidR="009C4A02" w:rsidRPr="00EA23A9" w:rsidRDefault="00E012D3" w:rsidP="009C4A02">
      <w:pPr>
        <w:numPr>
          <w:ilvl w:val="0"/>
          <w:numId w:val="14"/>
        </w:numPr>
        <w:rPr>
          <w:bCs/>
        </w:rPr>
      </w:pPr>
      <w:r>
        <w:rPr>
          <w:bCs/>
        </w:rPr>
        <w:t>Even i</w:t>
      </w:r>
      <w:r w:rsidR="009C4A02" w:rsidRPr="00EA23A9">
        <w:rPr>
          <w:bCs/>
        </w:rPr>
        <w:t>f the examiner’s current performance is less than FS</w:t>
      </w:r>
      <w:r w:rsidR="000D501F" w:rsidRPr="00EA23A9">
        <w:rPr>
          <w:bCs/>
        </w:rPr>
        <w:t xml:space="preserve"> in a critical element</w:t>
      </w:r>
      <w:r w:rsidR="009C4A02" w:rsidRPr="00EA23A9">
        <w:rPr>
          <w:bCs/>
        </w:rPr>
        <w:t xml:space="preserve"> (i.e., 94% or lower in either Production or Docket Management) at the end of the PP before the effective date of the WGI</w:t>
      </w:r>
      <w:r>
        <w:rPr>
          <w:bCs/>
        </w:rPr>
        <w:t>,</w:t>
      </w:r>
      <w:r w:rsidR="009C4A02" w:rsidRPr="00EA23A9">
        <w:rPr>
          <w:bCs/>
        </w:rPr>
        <w:t xml:space="preserve"> the examiner is </w:t>
      </w:r>
      <w:r>
        <w:rPr>
          <w:bCs/>
        </w:rPr>
        <w:t xml:space="preserve">still </w:t>
      </w:r>
      <w:r w:rsidR="009C4A02" w:rsidRPr="00EA23A9">
        <w:rPr>
          <w:bCs/>
        </w:rPr>
        <w:t>eligible to receive the WGI</w:t>
      </w:r>
      <w:r>
        <w:rPr>
          <w:bCs/>
        </w:rPr>
        <w:t xml:space="preserve"> because</w:t>
      </w:r>
      <w:r w:rsidR="009C4A02" w:rsidRPr="00EA23A9">
        <w:rPr>
          <w:bCs/>
        </w:rPr>
        <w:t xml:space="preserve">, although his/her performance is not FS, it has been less than </w:t>
      </w:r>
      <w:r w:rsidR="00A45C12" w:rsidRPr="00EA23A9">
        <w:rPr>
          <w:bCs/>
        </w:rPr>
        <w:t>90</w:t>
      </w:r>
      <w:r w:rsidR="00BD0356" w:rsidRPr="00EA23A9">
        <w:rPr>
          <w:bCs/>
        </w:rPr>
        <w:t xml:space="preserve"> </w:t>
      </w:r>
      <w:r w:rsidR="009C4A02" w:rsidRPr="00EA23A9">
        <w:rPr>
          <w:bCs/>
        </w:rPr>
        <w:t xml:space="preserve">days from the start of the rating period.  </w:t>
      </w:r>
    </w:p>
    <w:p w:rsidR="009C4A02" w:rsidRPr="00EA23A9" w:rsidRDefault="009C4A02" w:rsidP="009C4A02">
      <w:pPr>
        <w:rPr>
          <w:bCs/>
        </w:rPr>
      </w:pPr>
    </w:p>
    <w:p w:rsidR="003F0975" w:rsidRPr="00EA23A9" w:rsidRDefault="003F0975" w:rsidP="003F0975">
      <w:pPr>
        <w:rPr>
          <w:bCs/>
        </w:rPr>
      </w:pPr>
    </w:p>
    <w:p w:rsidR="000E4D67" w:rsidRPr="00EA23A9" w:rsidRDefault="003F0975" w:rsidP="000E4D67">
      <w:pPr>
        <w:rPr>
          <w:bCs/>
        </w:rPr>
      </w:pPr>
      <w:r w:rsidRPr="00EA23A9">
        <w:rPr>
          <w:bCs/>
        </w:rPr>
        <w:t>Example #</w:t>
      </w:r>
      <w:r w:rsidR="000E4D67" w:rsidRPr="00EA23A9">
        <w:rPr>
          <w:bCs/>
        </w:rPr>
        <w:t>2</w:t>
      </w:r>
      <w:r w:rsidRPr="00EA23A9">
        <w:rPr>
          <w:bCs/>
        </w:rPr>
        <w:t xml:space="preserve"> ~ An examiner </w:t>
      </w:r>
      <w:r w:rsidR="000E4D67" w:rsidRPr="00EA23A9">
        <w:rPr>
          <w:bCs/>
        </w:rPr>
        <w:t xml:space="preserve">has a rating of record of less than FS for FY </w:t>
      </w:r>
      <w:r w:rsidR="00E012D3" w:rsidRPr="00EA23A9">
        <w:rPr>
          <w:bCs/>
        </w:rPr>
        <w:t>201</w:t>
      </w:r>
      <w:r w:rsidR="00E012D3">
        <w:rPr>
          <w:bCs/>
        </w:rPr>
        <w:t>3</w:t>
      </w:r>
      <w:r w:rsidR="00E012D3" w:rsidRPr="00EA23A9">
        <w:rPr>
          <w:bCs/>
        </w:rPr>
        <w:t xml:space="preserve"> </w:t>
      </w:r>
      <w:r w:rsidR="000E4D67" w:rsidRPr="00EA23A9">
        <w:rPr>
          <w:bCs/>
        </w:rPr>
        <w:t xml:space="preserve">and the WGI is due </w:t>
      </w:r>
      <w:r w:rsidR="003529D0">
        <w:rPr>
          <w:bCs/>
        </w:rPr>
        <w:t xml:space="preserve">during the first 90 days of FY </w:t>
      </w:r>
      <w:r w:rsidR="00E012D3">
        <w:rPr>
          <w:bCs/>
        </w:rPr>
        <w:t>2014</w:t>
      </w:r>
      <w:r w:rsidR="000E4D67" w:rsidRPr="00EA23A9">
        <w:rPr>
          <w:bCs/>
        </w:rPr>
        <w:t xml:space="preserve">.  </w:t>
      </w:r>
    </w:p>
    <w:p w:rsidR="000E4D67" w:rsidRPr="00EA23A9" w:rsidRDefault="000E4D67" w:rsidP="000E4D67">
      <w:pPr>
        <w:numPr>
          <w:ilvl w:val="0"/>
          <w:numId w:val="14"/>
        </w:numPr>
        <w:rPr>
          <w:bCs/>
        </w:rPr>
      </w:pPr>
      <w:r w:rsidRPr="00EA23A9">
        <w:rPr>
          <w:bCs/>
        </w:rPr>
        <w:t>Deny the WGI because the WGI is due less than 90 days in the new fiscal year.</w:t>
      </w:r>
    </w:p>
    <w:p w:rsidR="000E4D67" w:rsidRPr="00EA23A9" w:rsidRDefault="000E4D67" w:rsidP="000E4D67">
      <w:pPr>
        <w:numPr>
          <w:ilvl w:val="0"/>
          <w:numId w:val="14"/>
        </w:numPr>
        <w:rPr>
          <w:bCs/>
        </w:rPr>
      </w:pPr>
      <w:r w:rsidRPr="00EA23A9">
        <w:rPr>
          <w:bCs/>
        </w:rPr>
        <w:t xml:space="preserve">Review (informally) the examiner’s performance at the end of the second quarter.  </w:t>
      </w:r>
    </w:p>
    <w:p w:rsidR="000E4D67" w:rsidRPr="00EA23A9" w:rsidRDefault="000E4D67" w:rsidP="000E4D67">
      <w:pPr>
        <w:numPr>
          <w:ilvl w:val="1"/>
          <w:numId w:val="14"/>
        </w:numPr>
        <w:ind w:left="1080"/>
        <w:rPr>
          <w:bCs/>
        </w:rPr>
      </w:pPr>
      <w:r w:rsidRPr="00EA23A9">
        <w:rPr>
          <w:bCs/>
        </w:rPr>
        <w:t>If the year to date performance would support a rating of record of at least fully successful, reevaluate the employee, creating an off-cycle rating of record and an SF 52 granting the WGI; follow the process for granting a WGI as set out above.</w:t>
      </w:r>
    </w:p>
    <w:p w:rsidR="00E04976" w:rsidRPr="00EA23A9" w:rsidRDefault="000E4D67" w:rsidP="000E4D67">
      <w:pPr>
        <w:numPr>
          <w:ilvl w:val="1"/>
          <w:numId w:val="14"/>
        </w:numPr>
        <w:ind w:left="1080"/>
        <w:rPr>
          <w:bCs/>
        </w:rPr>
      </w:pPr>
      <w:r w:rsidRPr="00EA23A9">
        <w:rPr>
          <w:bCs/>
        </w:rPr>
        <w:lastRenderedPageBreak/>
        <w:t>If the year to date performance would not support a rating of at least FS, do nothing except be prepared to discuss the issue with the examiner if requested.  Review the performance again informally at the end of the third quarter and grant or do nothing depending on the outcome of the informal review. If the employee’s performance at the end of the third quarter is still below FS, the end of year rating will constitute another opportunity for the examiner to earn a WGI.  If the performance is at least FS at the end of the year, submit an SF 52</w:t>
      </w:r>
      <w:r w:rsidR="00E04976" w:rsidRPr="00EA23A9">
        <w:rPr>
          <w:bCs/>
        </w:rPr>
        <w:t xml:space="preserve"> along with the signed PAP to grant the WGI.  If the EOY rating is still below FS, work with ER to generate another WGI denial letter on the anniversary date of the initial denial.  </w:t>
      </w:r>
    </w:p>
    <w:p w:rsidR="000E4D67" w:rsidRPr="00EA23A9" w:rsidRDefault="000E4D67" w:rsidP="000E4D67">
      <w:pPr>
        <w:rPr>
          <w:bCs/>
        </w:rPr>
      </w:pPr>
    </w:p>
    <w:p w:rsidR="000E4D67" w:rsidRPr="00EA23A9" w:rsidRDefault="000E4D67" w:rsidP="000E4D67">
      <w:pPr>
        <w:rPr>
          <w:bCs/>
        </w:rPr>
      </w:pPr>
      <w:r w:rsidRPr="00EA23A9">
        <w:rPr>
          <w:bCs/>
        </w:rPr>
        <w:t xml:space="preserve">Example #3 ~ An examiner received a Marginal rating for FY </w:t>
      </w:r>
      <w:r w:rsidR="00E06F8E" w:rsidRPr="00EA23A9">
        <w:rPr>
          <w:bCs/>
        </w:rPr>
        <w:t>201</w:t>
      </w:r>
      <w:r w:rsidR="00E06F8E">
        <w:rPr>
          <w:bCs/>
        </w:rPr>
        <w:t>3</w:t>
      </w:r>
      <w:r w:rsidRPr="00EA23A9">
        <w:rPr>
          <w:bCs/>
        </w:rPr>
        <w:t xml:space="preserve">, and the WGI is due </w:t>
      </w:r>
      <w:r w:rsidR="003529D0">
        <w:rPr>
          <w:bCs/>
        </w:rPr>
        <w:t xml:space="preserve">90 days or more into FY </w:t>
      </w:r>
      <w:r w:rsidR="00E06F8E">
        <w:rPr>
          <w:bCs/>
        </w:rPr>
        <w:t>2014</w:t>
      </w:r>
      <w:r w:rsidRPr="00EA23A9">
        <w:rPr>
          <w:bCs/>
        </w:rPr>
        <w:t xml:space="preserve">.  </w:t>
      </w:r>
    </w:p>
    <w:p w:rsidR="000E4D67" w:rsidRPr="00EA23A9" w:rsidRDefault="00E06F8E" w:rsidP="000E4D67">
      <w:pPr>
        <w:numPr>
          <w:ilvl w:val="0"/>
          <w:numId w:val="14"/>
        </w:numPr>
        <w:rPr>
          <w:bCs/>
        </w:rPr>
      </w:pPr>
      <w:r>
        <w:rPr>
          <w:bCs/>
        </w:rPr>
        <w:t xml:space="preserve">Scenario 1: </w:t>
      </w:r>
      <w:r w:rsidR="000E4D67" w:rsidRPr="00EA23A9">
        <w:rPr>
          <w:bCs/>
        </w:rPr>
        <w:t xml:space="preserve">The biweek prior to the WGI being due, the examiner has improved his/her performance to at least the FS level in all critical elements and is therefore eligible to receive a WGI.  </w:t>
      </w:r>
      <w:r>
        <w:rPr>
          <w:bCs/>
        </w:rPr>
        <w:t>In this case, t</w:t>
      </w:r>
      <w:r w:rsidRPr="00EA23A9">
        <w:rPr>
          <w:bCs/>
        </w:rPr>
        <w:t>he supervisor would do an off-cycle rating from 10/1/201</w:t>
      </w:r>
      <w:r>
        <w:rPr>
          <w:bCs/>
        </w:rPr>
        <w:t>3</w:t>
      </w:r>
      <w:r w:rsidRPr="00EA23A9">
        <w:rPr>
          <w:bCs/>
        </w:rPr>
        <w:t xml:space="preserve"> – </w:t>
      </w:r>
      <w:r>
        <w:rPr>
          <w:bCs/>
        </w:rPr>
        <w:t>the last day of the biweek before</w:t>
      </w:r>
      <w:r w:rsidRPr="00EA23A9">
        <w:rPr>
          <w:bCs/>
        </w:rPr>
        <w:t xml:space="preserve"> </w:t>
      </w:r>
      <w:r>
        <w:rPr>
          <w:bCs/>
        </w:rPr>
        <w:t xml:space="preserve">the WGI determination date </w:t>
      </w:r>
      <w:r w:rsidRPr="00EA23A9">
        <w:rPr>
          <w:bCs/>
        </w:rPr>
        <w:t>to reflect the FS or higher current performance and complete an SF-52 granting the WGI</w:t>
      </w:r>
      <w:r>
        <w:rPr>
          <w:bCs/>
        </w:rPr>
        <w:t>.</w:t>
      </w:r>
    </w:p>
    <w:p w:rsidR="00E06F8E" w:rsidRPr="00EA23A9" w:rsidRDefault="00E06F8E" w:rsidP="000E4D67">
      <w:pPr>
        <w:numPr>
          <w:ilvl w:val="0"/>
          <w:numId w:val="14"/>
        </w:numPr>
        <w:rPr>
          <w:bCs/>
        </w:rPr>
      </w:pPr>
      <w:r>
        <w:rPr>
          <w:bCs/>
        </w:rPr>
        <w:t>Scenario 2: The biweek prior to the WGI being due, the examiner has not improved his/her performance to at least the FS level in all critical elements and is therefore not eligible to receive a WGI.  In this case, the supervisor would deny the WGI consistent with the processes described above, and informally reconsider the examiner’s performance at the end of quarters beginning with the next full quarter after the WGI determination, as described above.</w:t>
      </w:r>
    </w:p>
    <w:p w:rsidR="00121EA3" w:rsidRPr="00EA23A9" w:rsidRDefault="00121EA3" w:rsidP="00121EA3">
      <w:pPr>
        <w:rPr>
          <w:bCs/>
        </w:rPr>
      </w:pPr>
    </w:p>
    <w:p w:rsidR="00121EA3" w:rsidRPr="00EA23A9" w:rsidRDefault="00121EA3" w:rsidP="00121EA3">
      <w:pPr>
        <w:rPr>
          <w:bCs/>
        </w:rPr>
      </w:pPr>
      <w:r w:rsidRPr="00EA23A9">
        <w:rPr>
          <w:bCs/>
        </w:rPr>
        <w:t xml:space="preserve">Example #4 ~ An examiner received a Commendable rating for FY </w:t>
      </w:r>
      <w:r w:rsidR="00E06F8E" w:rsidRPr="00EA23A9">
        <w:rPr>
          <w:bCs/>
        </w:rPr>
        <w:t>201</w:t>
      </w:r>
      <w:r w:rsidR="00E06F8E">
        <w:rPr>
          <w:bCs/>
        </w:rPr>
        <w:t>3</w:t>
      </w:r>
      <w:r w:rsidRPr="00EA23A9">
        <w:rPr>
          <w:bCs/>
        </w:rPr>
        <w:t xml:space="preserve">, and the WGI is due </w:t>
      </w:r>
      <w:r w:rsidR="003529D0">
        <w:rPr>
          <w:bCs/>
        </w:rPr>
        <w:t xml:space="preserve">90 days or more in FY </w:t>
      </w:r>
      <w:r w:rsidR="00E06F8E">
        <w:rPr>
          <w:bCs/>
        </w:rPr>
        <w:t>2014</w:t>
      </w:r>
      <w:r w:rsidRPr="00EA23A9">
        <w:rPr>
          <w:bCs/>
        </w:rPr>
        <w:t>.</w:t>
      </w:r>
    </w:p>
    <w:p w:rsidR="00121EA3" w:rsidRPr="00EA23A9" w:rsidRDefault="00121EA3" w:rsidP="00121EA3">
      <w:pPr>
        <w:numPr>
          <w:ilvl w:val="0"/>
          <w:numId w:val="20"/>
        </w:numPr>
        <w:rPr>
          <w:bCs/>
        </w:rPr>
      </w:pPr>
      <w:r w:rsidRPr="00EA23A9">
        <w:rPr>
          <w:bCs/>
        </w:rPr>
        <w:t xml:space="preserve">Assess the year to date performance of the employee the biweek before the WGI is due.  </w:t>
      </w:r>
    </w:p>
    <w:p w:rsidR="00121EA3" w:rsidRPr="00EA23A9" w:rsidRDefault="00121EA3" w:rsidP="00121EA3">
      <w:pPr>
        <w:numPr>
          <w:ilvl w:val="0"/>
          <w:numId w:val="20"/>
        </w:numPr>
        <w:rPr>
          <w:bCs/>
        </w:rPr>
      </w:pPr>
      <w:r w:rsidRPr="00EA23A9">
        <w:rPr>
          <w:bCs/>
        </w:rPr>
        <w:t xml:space="preserve">If the performance is still FS or above, the WGI will be automatically granted but it is still good to send the form back to OHR approving the grant of the WGI.  </w:t>
      </w:r>
    </w:p>
    <w:p w:rsidR="00121EA3" w:rsidRPr="00EA23A9" w:rsidRDefault="00121EA3" w:rsidP="00121EA3">
      <w:pPr>
        <w:numPr>
          <w:ilvl w:val="0"/>
          <w:numId w:val="20"/>
        </w:numPr>
        <w:rPr>
          <w:bCs/>
        </w:rPr>
      </w:pPr>
      <w:r w:rsidRPr="00EA23A9">
        <w:rPr>
          <w:bCs/>
        </w:rPr>
        <w:t xml:space="preserve">If the employee’s performance is below FS year to date, </w:t>
      </w:r>
    </w:p>
    <w:p w:rsidR="00121EA3" w:rsidRPr="00EA23A9" w:rsidRDefault="00121EA3" w:rsidP="00121EA3">
      <w:pPr>
        <w:numPr>
          <w:ilvl w:val="1"/>
          <w:numId w:val="20"/>
        </w:numPr>
        <w:ind w:left="1080"/>
        <w:rPr>
          <w:bCs/>
        </w:rPr>
      </w:pPr>
      <w:r w:rsidRPr="00EA23A9">
        <w:rPr>
          <w:bCs/>
        </w:rPr>
        <w:t xml:space="preserve">Prepare an off-cycle rating of record and an SF 52 denying the WGI.  </w:t>
      </w:r>
    </w:p>
    <w:p w:rsidR="00121EA3" w:rsidRPr="00EA23A9" w:rsidRDefault="00121EA3" w:rsidP="00121EA3">
      <w:pPr>
        <w:numPr>
          <w:ilvl w:val="1"/>
          <w:numId w:val="20"/>
        </w:numPr>
        <w:ind w:left="1080"/>
        <w:rPr>
          <w:bCs/>
        </w:rPr>
      </w:pPr>
      <w:r w:rsidRPr="00EA23A9">
        <w:rPr>
          <w:bCs/>
        </w:rPr>
        <w:t xml:space="preserve">Informally review the performance at the end of the </w:t>
      </w:r>
      <w:r w:rsidR="00E06F8E">
        <w:rPr>
          <w:bCs/>
        </w:rPr>
        <w:t>next full</w:t>
      </w:r>
      <w:r w:rsidR="00E06F8E" w:rsidRPr="00EA23A9">
        <w:rPr>
          <w:bCs/>
        </w:rPr>
        <w:t xml:space="preserve"> </w:t>
      </w:r>
      <w:r w:rsidRPr="00EA23A9">
        <w:rPr>
          <w:bCs/>
        </w:rPr>
        <w:t xml:space="preserve">quarter.  </w:t>
      </w:r>
      <w:r w:rsidR="00E06F8E">
        <w:rPr>
          <w:bCs/>
        </w:rPr>
        <w:t>At that time, p</w:t>
      </w:r>
      <w:r w:rsidRPr="00EA23A9">
        <w:rPr>
          <w:bCs/>
        </w:rPr>
        <w:t xml:space="preserve">repare an off-cycle rating and an SF 52 granting the WGI if the year to date performance is FS or above.  If the performance is not at least FS, do nothing except save records showing the employee’s performance is below FS.  </w:t>
      </w:r>
    </w:p>
    <w:p w:rsidR="00121EA3" w:rsidRPr="00EA23A9" w:rsidRDefault="00121EA3" w:rsidP="00121EA3">
      <w:pPr>
        <w:numPr>
          <w:ilvl w:val="1"/>
          <w:numId w:val="20"/>
        </w:numPr>
        <w:ind w:left="1080"/>
        <w:rPr>
          <w:bCs/>
        </w:rPr>
      </w:pPr>
      <w:r w:rsidRPr="00EA23A9">
        <w:rPr>
          <w:bCs/>
        </w:rPr>
        <w:t xml:space="preserve">If the employee’s end of year performance is FS or above, submit an SF 52 granting the WGI along with the PAP.  If the performance is below FS, there is no need to do an additional WGI denial.  </w:t>
      </w:r>
    </w:p>
    <w:p w:rsidR="00121EA3" w:rsidRPr="00EA23A9" w:rsidRDefault="00121EA3" w:rsidP="00121EA3">
      <w:pPr>
        <w:numPr>
          <w:ilvl w:val="1"/>
          <w:numId w:val="20"/>
        </w:numPr>
        <w:ind w:left="1080"/>
        <w:rPr>
          <w:bCs/>
        </w:rPr>
      </w:pPr>
      <w:r w:rsidRPr="00EA23A9">
        <w:rPr>
          <w:bCs/>
        </w:rPr>
        <w:t xml:space="preserve">If the WGI is still denied at the end of year, wait until the end of the first biweek following 90 days and informally review the process.  Prepare an off-cycle rating and an SF 52 if the employee’s performance is at least FS.  </w:t>
      </w:r>
    </w:p>
    <w:p w:rsidR="00121EA3" w:rsidRPr="00EA23A9" w:rsidRDefault="00121EA3" w:rsidP="00121EA3">
      <w:pPr>
        <w:numPr>
          <w:ilvl w:val="1"/>
          <w:numId w:val="20"/>
        </w:numPr>
        <w:ind w:left="1080"/>
        <w:rPr>
          <w:bCs/>
        </w:rPr>
      </w:pPr>
      <w:r w:rsidRPr="00EA23A9">
        <w:rPr>
          <w:bCs/>
        </w:rPr>
        <w:t xml:space="preserve">If the WGI has not been approved by the anniversary date of the initial WGI denial, work with your ER specialist on a new WGI denial letter.  </w:t>
      </w:r>
    </w:p>
    <w:p w:rsidR="003F0975" w:rsidRPr="00EA23A9" w:rsidRDefault="003F0975" w:rsidP="003F0975">
      <w:pPr>
        <w:rPr>
          <w:bCs/>
        </w:rPr>
      </w:pPr>
    </w:p>
    <w:p w:rsidR="00CC43CB" w:rsidRPr="00EA23A9" w:rsidRDefault="00CC43CB" w:rsidP="00CC43CB">
      <w:pPr>
        <w:ind w:left="720"/>
        <w:jc w:val="center"/>
        <w:rPr>
          <w:bCs/>
        </w:rPr>
      </w:pPr>
      <w:r w:rsidRPr="00EA23A9">
        <w:rPr>
          <w:bCs/>
        </w:rPr>
        <w:br w:type="page"/>
      </w:r>
      <w:r w:rsidRPr="00EA23A9">
        <w:rPr>
          <w:bCs/>
        </w:rPr>
        <w:lastRenderedPageBreak/>
        <w:t xml:space="preserve">Frequently Asked Questions </w:t>
      </w:r>
    </w:p>
    <w:p w:rsidR="00CC43CB" w:rsidRPr="00EA23A9" w:rsidRDefault="00CC43CB" w:rsidP="00CC43CB">
      <w:pPr>
        <w:ind w:left="720"/>
        <w:jc w:val="center"/>
        <w:rPr>
          <w:bCs/>
        </w:rPr>
      </w:pPr>
    </w:p>
    <w:p w:rsidR="00CC43CB" w:rsidRPr="00EA23A9" w:rsidRDefault="00CC43CB" w:rsidP="00CC43CB">
      <w:pPr>
        <w:numPr>
          <w:ilvl w:val="0"/>
          <w:numId w:val="19"/>
        </w:numPr>
        <w:rPr>
          <w:bCs/>
        </w:rPr>
      </w:pPr>
      <w:r w:rsidRPr="00EA23A9">
        <w:rPr>
          <w:bCs/>
        </w:rPr>
        <w:t xml:space="preserve">Is an </w:t>
      </w:r>
      <w:r w:rsidR="00A45C12" w:rsidRPr="00EA23A9">
        <w:rPr>
          <w:bCs/>
        </w:rPr>
        <w:t>e</w:t>
      </w:r>
      <w:r w:rsidRPr="00EA23A9">
        <w:rPr>
          <w:bCs/>
        </w:rPr>
        <w:t>xaminer who is in a safety zone considered to be fully successful?</w:t>
      </w:r>
    </w:p>
    <w:p w:rsidR="00CC43CB" w:rsidRPr="00EA23A9" w:rsidRDefault="00CC43CB" w:rsidP="00CC43CB">
      <w:pPr>
        <w:ind w:left="1440"/>
        <w:rPr>
          <w:bCs/>
          <w:strike/>
        </w:rPr>
      </w:pPr>
    </w:p>
    <w:p w:rsidR="00576988" w:rsidRPr="00EA23A9" w:rsidRDefault="00576988" w:rsidP="00CC43CB">
      <w:pPr>
        <w:ind w:left="1440"/>
        <w:rPr>
          <w:bCs/>
        </w:rPr>
      </w:pPr>
      <w:r w:rsidRPr="00EA23A9">
        <w:rPr>
          <w:bCs/>
        </w:rPr>
        <w:t>Grants or denials of WGI must be based on a rating of record</w:t>
      </w:r>
      <w:r w:rsidR="001B707D">
        <w:rPr>
          <w:bCs/>
        </w:rPr>
        <w:t>, and after 90 days in a new fiscal year, current performance</w:t>
      </w:r>
      <w:r w:rsidRPr="00EA23A9">
        <w:rPr>
          <w:bCs/>
        </w:rPr>
        <w:t xml:space="preserve">.  </w:t>
      </w:r>
      <w:r w:rsidR="001B707D">
        <w:rPr>
          <w:bCs/>
        </w:rPr>
        <w:t xml:space="preserve">The USPTO uses year-to-date performance to determine eligibility for a WGI when current performance is considered.  </w:t>
      </w:r>
      <w:r w:rsidRPr="00EA23A9">
        <w:rPr>
          <w:bCs/>
        </w:rPr>
        <w:t xml:space="preserve">This decision is made separately from determining whether to give someone a safety zone letter, or even an oral or written warning.  It is possible for an employee to have a very good quarter (e.g. 120% production) followed by one or two bad quarters. It may well be that a person could be given a warning but still have year to date performance that supports the grant of a WGI.  Because we look at year to date performance for WGI purposes, we would grant the WGI if the year to date performance supports it.  </w:t>
      </w:r>
    </w:p>
    <w:p w:rsidR="00576988" w:rsidRPr="00EA23A9" w:rsidRDefault="00576988" w:rsidP="00CC43CB">
      <w:pPr>
        <w:ind w:left="1440"/>
        <w:rPr>
          <w:bCs/>
        </w:rPr>
      </w:pPr>
    </w:p>
    <w:p w:rsidR="00CC43CB" w:rsidRPr="00EA23A9" w:rsidRDefault="00A45C12" w:rsidP="00CC43CB">
      <w:pPr>
        <w:numPr>
          <w:ilvl w:val="0"/>
          <w:numId w:val="19"/>
        </w:numPr>
        <w:rPr>
          <w:bCs/>
        </w:rPr>
      </w:pPr>
      <w:r w:rsidRPr="00EA23A9">
        <w:rPr>
          <w:bCs/>
        </w:rPr>
        <w:t xml:space="preserve">How often does a supervisor review an examiner’s performance after the </w:t>
      </w:r>
      <w:r w:rsidR="001B707D">
        <w:rPr>
          <w:bCs/>
        </w:rPr>
        <w:t>WGI is initially denied?</w:t>
      </w:r>
    </w:p>
    <w:p w:rsidR="001B707D" w:rsidRDefault="001B707D" w:rsidP="00A45C12">
      <w:pPr>
        <w:ind w:left="1440"/>
        <w:rPr>
          <w:bCs/>
        </w:rPr>
      </w:pPr>
    </w:p>
    <w:p w:rsidR="00A45C12" w:rsidRPr="00EA23A9" w:rsidRDefault="000D1ECD" w:rsidP="00A45C12">
      <w:pPr>
        <w:ind w:left="1440"/>
        <w:rPr>
          <w:bCs/>
        </w:rPr>
      </w:pPr>
      <w:r w:rsidRPr="00EA23A9">
        <w:rPr>
          <w:bCs/>
        </w:rPr>
        <w:t>T</w:t>
      </w:r>
      <w:r w:rsidR="00A45C12" w:rsidRPr="00EA23A9">
        <w:rPr>
          <w:bCs/>
        </w:rPr>
        <w:t xml:space="preserve">he examiner’s performance is assessed at the </w:t>
      </w:r>
      <w:r w:rsidRPr="00EA23A9">
        <w:rPr>
          <w:bCs/>
        </w:rPr>
        <w:t xml:space="preserve">end of the first full quarter after a WGI denial and every quarter thereafter.  If the employee’s </w:t>
      </w:r>
      <w:r w:rsidR="003D4764" w:rsidRPr="00EA23A9">
        <w:rPr>
          <w:bCs/>
        </w:rPr>
        <w:t xml:space="preserve">fiscal </w:t>
      </w:r>
      <w:r w:rsidRPr="00EA23A9">
        <w:rPr>
          <w:bCs/>
        </w:rPr>
        <w:t>year</w:t>
      </w:r>
      <w:r w:rsidR="003D4764" w:rsidRPr="00EA23A9">
        <w:rPr>
          <w:bCs/>
        </w:rPr>
        <w:t>-</w:t>
      </w:r>
      <w:r w:rsidRPr="00EA23A9">
        <w:rPr>
          <w:bCs/>
        </w:rPr>
        <w:t>to</w:t>
      </w:r>
      <w:r w:rsidR="003D4764" w:rsidRPr="00EA23A9">
        <w:rPr>
          <w:bCs/>
        </w:rPr>
        <w:t>-</w:t>
      </w:r>
      <w:r w:rsidRPr="00EA23A9">
        <w:rPr>
          <w:bCs/>
        </w:rPr>
        <w:t xml:space="preserve">date performance </w:t>
      </w:r>
      <w:r w:rsidR="003D4764" w:rsidRPr="00EA23A9">
        <w:rPr>
          <w:bCs/>
        </w:rPr>
        <w:t xml:space="preserve">as of the end of each quarter </w:t>
      </w:r>
      <w:r w:rsidRPr="00EA23A9">
        <w:rPr>
          <w:bCs/>
        </w:rPr>
        <w:t xml:space="preserve">does not improve to FS or above during the first year, the supervisor must issue another WGI denial letter on the anniversary date of the initial denial.  </w:t>
      </w:r>
    </w:p>
    <w:sectPr w:rsidR="00A45C12" w:rsidRPr="00EA23A9" w:rsidSect="00BD0356">
      <w:headerReference w:type="default" r:id="rId12"/>
      <w:footnotePr>
        <w:numFmt w:val="chicago"/>
      </w:footnotePr>
      <w:type w:val="continuous"/>
      <w:pgSz w:w="12240" w:h="15840" w:code="1"/>
      <w:pgMar w:top="1440" w:right="1296" w:bottom="1296" w:left="1296"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7D8" w:rsidRDefault="007437D8" w:rsidP="009D0232">
      <w:r>
        <w:separator/>
      </w:r>
    </w:p>
  </w:endnote>
  <w:endnote w:type="continuationSeparator" w:id="0">
    <w:p w:rsidR="007437D8" w:rsidRDefault="007437D8" w:rsidP="009D0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7D8" w:rsidRDefault="007437D8" w:rsidP="009D0232">
      <w:r>
        <w:separator/>
      </w:r>
    </w:p>
  </w:footnote>
  <w:footnote w:type="continuationSeparator" w:id="0">
    <w:p w:rsidR="007437D8" w:rsidRDefault="007437D8" w:rsidP="009D02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909" w:rsidRDefault="001569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E7F50"/>
    <w:multiLevelType w:val="hybridMultilevel"/>
    <w:tmpl w:val="A21E050C"/>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0B3546"/>
    <w:multiLevelType w:val="hybridMultilevel"/>
    <w:tmpl w:val="8392ED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243E67"/>
    <w:multiLevelType w:val="hybridMultilevel"/>
    <w:tmpl w:val="5C1CF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EB1923"/>
    <w:multiLevelType w:val="hybridMultilevel"/>
    <w:tmpl w:val="A5367FA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FAE2036"/>
    <w:multiLevelType w:val="hybridMultilevel"/>
    <w:tmpl w:val="7522F79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4F3151"/>
    <w:multiLevelType w:val="hybridMultilevel"/>
    <w:tmpl w:val="7848D4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F5147A"/>
    <w:multiLevelType w:val="hybridMultilevel"/>
    <w:tmpl w:val="8EB4F9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D42132"/>
    <w:multiLevelType w:val="hybridMultilevel"/>
    <w:tmpl w:val="5C8E4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DD02C6"/>
    <w:multiLevelType w:val="hybridMultilevel"/>
    <w:tmpl w:val="26BE9A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36AC7"/>
    <w:multiLevelType w:val="hybridMultilevel"/>
    <w:tmpl w:val="56DA7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494107"/>
    <w:multiLevelType w:val="hybridMultilevel"/>
    <w:tmpl w:val="D88E4A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C96136"/>
    <w:multiLevelType w:val="hybridMultilevel"/>
    <w:tmpl w:val="2C4E2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602209"/>
    <w:multiLevelType w:val="hybridMultilevel"/>
    <w:tmpl w:val="9A88D5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561AB1"/>
    <w:multiLevelType w:val="hybridMultilevel"/>
    <w:tmpl w:val="4D3EC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065624"/>
    <w:multiLevelType w:val="hybridMultilevel"/>
    <w:tmpl w:val="D55265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EF639A"/>
    <w:multiLevelType w:val="hybridMultilevel"/>
    <w:tmpl w:val="F5CAFB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D07628"/>
    <w:multiLevelType w:val="hybridMultilevel"/>
    <w:tmpl w:val="7F70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D560A9"/>
    <w:multiLevelType w:val="hybridMultilevel"/>
    <w:tmpl w:val="149ADE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B5D7004"/>
    <w:multiLevelType w:val="hybridMultilevel"/>
    <w:tmpl w:val="24A2D89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E264EBE"/>
    <w:multiLevelType w:val="hybridMultilevel"/>
    <w:tmpl w:val="060A0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A841B0"/>
    <w:multiLevelType w:val="hybridMultilevel"/>
    <w:tmpl w:val="5C1630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num>
  <w:num w:numId="3">
    <w:abstractNumId w:val="13"/>
  </w:num>
  <w:num w:numId="4">
    <w:abstractNumId w:val="7"/>
  </w:num>
  <w:num w:numId="5">
    <w:abstractNumId w:val="14"/>
  </w:num>
  <w:num w:numId="6">
    <w:abstractNumId w:val="20"/>
  </w:num>
  <w:num w:numId="7">
    <w:abstractNumId w:val="0"/>
  </w:num>
  <w:num w:numId="8">
    <w:abstractNumId w:val="17"/>
  </w:num>
  <w:num w:numId="9">
    <w:abstractNumId w:val="5"/>
  </w:num>
  <w:num w:numId="10">
    <w:abstractNumId w:val="12"/>
  </w:num>
  <w:num w:numId="11">
    <w:abstractNumId w:val="18"/>
  </w:num>
  <w:num w:numId="12">
    <w:abstractNumId w:val="8"/>
  </w:num>
  <w:num w:numId="13">
    <w:abstractNumId w:val="4"/>
  </w:num>
  <w:num w:numId="14">
    <w:abstractNumId w:val="6"/>
  </w:num>
  <w:num w:numId="15">
    <w:abstractNumId w:val="16"/>
  </w:num>
  <w:num w:numId="16">
    <w:abstractNumId w:val="1"/>
  </w:num>
  <w:num w:numId="17">
    <w:abstractNumId w:val="9"/>
  </w:num>
  <w:num w:numId="18">
    <w:abstractNumId w:val="19"/>
  </w:num>
  <w:num w:numId="19">
    <w:abstractNumId w:val="3"/>
  </w:num>
  <w:num w:numId="20">
    <w:abstractNumId w:val="1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30B"/>
    <w:rsid w:val="00003511"/>
    <w:rsid w:val="00011796"/>
    <w:rsid w:val="000175EA"/>
    <w:rsid w:val="0002242A"/>
    <w:rsid w:val="00023103"/>
    <w:rsid w:val="000247A5"/>
    <w:rsid w:val="0002621C"/>
    <w:rsid w:val="0002663A"/>
    <w:rsid w:val="00033D09"/>
    <w:rsid w:val="000349F8"/>
    <w:rsid w:val="00035B98"/>
    <w:rsid w:val="000375E7"/>
    <w:rsid w:val="00041573"/>
    <w:rsid w:val="00043867"/>
    <w:rsid w:val="00044D29"/>
    <w:rsid w:val="0005355A"/>
    <w:rsid w:val="00056D71"/>
    <w:rsid w:val="00057D8A"/>
    <w:rsid w:val="000606AC"/>
    <w:rsid w:val="00064016"/>
    <w:rsid w:val="000645E1"/>
    <w:rsid w:val="00064663"/>
    <w:rsid w:val="0006495E"/>
    <w:rsid w:val="00064D7E"/>
    <w:rsid w:val="000655B5"/>
    <w:rsid w:val="0006605E"/>
    <w:rsid w:val="000673BA"/>
    <w:rsid w:val="000722D9"/>
    <w:rsid w:val="00072A10"/>
    <w:rsid w:val="00073184"/>
    <w:rsid w:val="0007415A"/>
    <w:rsid w:val="00076E9E"/>
    <w:rsid w:val="00080977"/>
    <w:rsid w:val="00080B8E"/>
    <w:rsid w:val="000813E0"/>
    <w:rsid w:val="00081DD1"/>
    <w:rsid w:val="000828AA"/>
    <w:rsid w:val="00083FB8"/>
    <w:rsid w:val="00086663"/>
    <w:rsid w:val="00090035"/>
    <w:rsid w:val="000904EB"/>
    <w:rsid w:val="00090A17"/>
    <w:rsid w:val="00090E05"/>
    <w:rsid w:val="00091794"/>
    <w:rsid w:val="00093A20"/>
    <w:rsid w:val="00097E7E"/>
    <w:rsid w:val="000A0B92"/>
    <w:rsid w:val="000A1529"/>
    <w:rsid w:val="000A17F8"/>
    <w:rsid w:val="000A2685"/>
    <w:rsid w:val="000A63D2"/>
    <w:rsid w:val="000A6579"/>
    <w:rsid w:val="000A7A2F"/>
    <w:rsid w:val="000B1322"/>
    <w:rsid w:val="000B3FC3"/>
    <w:rsid w:val="000B6D22"/>
    <w:rsid w:val="000C7051"/>
    <w:rsid w:val="000D1ECD"/>
    <w:rsid w:val="000D3828"/>
    <w:rsid w:val="000D501F"/>
    <w:rsid w:val="000D583E"/>
    <w:rsid w:val="000D7AC7"/>
    <w:rsid w:val="000E0B96"/>
    <w:rsid w:val="000E0C70"/>
    <w:rsid w:val="000E1412"/>
    <w:rsid w:val="000E2A57"/>
    <w:rsid w:val="000E303B"/>
    <w:rsid w:val="000E332B"/>
    <w:rsid w:val="000E38FB"/>
    <w:rsid w:val="000E4D67"/>
    <w:rsid w:val="000E52E5"/>
    <w:rsid w:val="000E7A05"/>
    <w:rsid w:val="000F13C0"/>
    <w:rsid w:val="000F402E"/>
    <w:rsid w:val="000F43DA"/>
    <w:rsid w:val="000F4692"/>
    <w:rsid w:val="000F4705"/>
    <w:rsid w:val="000F5F13"/>
    <w:rsid w:val="000F60BA"/>
    <w:rsid w:val="000F61FF"/>
    <w:rsid w:val="000F6BB9"/>
    <w:rsid w:val="000F7964"/>
    <w:rsid w:val="00101A2C"/>
    <w:rsid w:val="001027A8"/>
    <w:rsid w:val="00103454"/>
    <w:rsid w:val="001042B5"/>
    <w:rsid w:val="00105C7D"/>
    <w:rsid w:val="001070A3"/>
    <w:rsid w:val="00110165"/>
    <w:rsid w:val="00111C5F"/>
    <w:rsid w:val="0011297D"/>
    <w:rsid w:val="00112BD6"/>
    <w:rsid w:val="00120BB8"/>
    <w:rsid w:val="001212BD"/>
    <w:rsid w:val="00121904"/>
    <w:rsid w:val="00121EA3"/>
    <w:rsid w:val="001278B0"/>
    <w:rsid w:val="0013215C"/>
    <w:rsid w:val="0013257E"/>
    <w:rsid w:val="0013365A"/>
    <w:rsid w:val="00135E5D"/>
    <w:rsid w:val="0014200F"/>
    <w:rsid w:val="001424A4"/>
    <w:rsid w:val="00150747"/>
    <w:rsid w:val="00150C5D"/>
    <w:rsid w:val="00152C07"/>
    <w:rsid w:val="001541F7"/>
    <w:rsid w:val="001552EF"/>
    <w:rsid w:val="00155A96"/>
    <w:rsid w:val="00156909"/>
    <w:rsid w:val="0015738E"/>
    <w:rsid w:val="001613D9"/>
    <w:rsid w:val="00161B75"/>
    <w:rsid w:val="00162E51"/>
    <w:rsid w:val="0016518A"/>
    <w:rsid w:val="00167246"/>
    <w:rsid w:val="00167F74"/>
    <w:rsid w:val="0017378B"/>
    <w:rsid w:val="00174936"/>
    <w:rsid w:val="00175222"/>
    <w:rsid w:val="00184402"/>
    <w:rsid w:val="00186391"/>
    <w:rsid w:val="00186D2E"/>
    <w:rsid w:val="00187AAC"/>
    <w:rsid w:val="0019114F"/>
    <w:rsid w:val="00191BEA"/>
    <w:rsid w:val="001922D9"/>
    <w:rsid w:val="001976AC"/>
    <w:rsid w:val="001A52A0"/>
    <w:rsid w:val="001A6653"/>
    <w:rsid w:val="001A7A21"/>
    <w:rsid w:val="001B127F"/>
    <w:rsid w:val="001B1A4D"/>
    <w:rsid w:val="001B3AF4"/>
    <w:rsid w:val="001B577E"/>
    <w:rsid w:val="001B707D"/>
    <w:rsid w:val="001B7A65"/>
    <w:rsid w:val="001C0F8D"/>
    <w:rsid w:val="001C217B"/>
    <w:rsid w:val="001C2A1E"/>
    <w:rsid w:val="001C6ABA"/>
    <w:rsid w:val="001C77DB"/>
    <w:rsid w:val="001D009E"/>
    <w:rsid w:val="001D6DAA"/>
    <w:rsid w:val="001D79BB"/>
    <w:rsid w:val="001E08A4"/>
    <w:rsid w:val="001E23A2"/>
    <w:rsid w:val="001E23A5"/>
    <w:rsid w:val="001E2A38"/>
    <w:rsid w:val="001E3C5C"/>
    <w:rsid w:val="001E63C2"/>
    <w:rsid w:val="001E727E"/>
    <w:rsid w:val="001E7DBA"/>
    <w:rsid w:val="001E7EC2"/>
    <w:rsid w:val="001F0178"/>
    <w:rsid w:val="001F3B35"/>
    <w:rsid w:val="001F66C4"/>
    <w:rsid w:val="00201596"/>
    <w:rsid w:val="00202349"/>
    <w:rsid w:val="002024D7"/>
    <w:rsid w:val="002035AB"/>
    <w:rsid w:val="00204EF2"/>
    <w:rsid w:val="002051CE"/>
    <w:rsid w:val="00205C92"/>
    <w:rsid w:val="00207FCD"/>
    <w:rsid w:val="00210DD5"/>
    <w:rsid w:val="0021190F"/>
    <w:rsid w:val="002125B6"/>
    <w:rsid w:val="00216FC4"/>
    <w:rsid w:val="00225200"/>
    <w:rsid w:val="0022618E"/>
    <w:rsid w:val="00227E4A"/>
    <w:rsid w:val="00231F07"/>
    <w:rsid w:val="00234404"/>
    <w:rsid w:val="002353F0"/>
    <w:rsid w:val="00236239"/>
    <w:rsid w:val="00241442"/>
    <w:rsid w:val="00242059"/>
    <w:rsid w:val="0024475B"/>
    <w:rsid w:val="00246CE3"/>
    <w:rsid w:val="00250D73"/>
    <w:rsid w:val="00252E54"/>
    <w:rsid w:val="002549F0"/>
    <w:rsid w:val="002550D5"/>
    <w:rsid w:val="0025630A"/>
    <w:rsid w:val="002565E6"/>
    <w:rsid w:val="002569D0"/>
    <w:rsid w:val="00260072"/>
    <w:rsid w:val="00263439"/>
    <w:rsid w:val="00264B68"/>
    <w:rsid w:val="00266FD0"/>
    <w:rsid w:val="002673DC"/>
    <w:rsid w:val="00267A6C"/>
    <w:rsid w:val="002737DA"/>
    <w:rsid w:val="00280FBB"/>
    <w:rsid w:val="002816BF"/>
    <w:rsid w:val="00292875"/>
    <w:rsid w:val="002930AE"/>
    <w:rsid w:val="0029346B"/>
    <w:rsid w:val="00293A4A"/>
    <w:rsid w:val="00294391"/>
    <w:rsid w:val="00294596"/>
    <w:rsid w:val="00295D0C"/>
    <w:rsid w:val="00295DDE"/>
    <w:rsid w:val="002A02BD"/>
    <w:rsid w:val="002A0CD2"/>
    <w:rsid w:val="002A1D26"/>
    <w:rsid w:val="002A1EE5"/>
    <w:rsid w:val="002A262E"/>
    <w:rsid w:val="002A3323"/>
    <w:rsid w:val="002A6098"/>
    <w:rsid w:val="002B0A7C"/>
    <w:rsid w:val="002B13F8"/>
    <w:rsid w:val="002B2E52"/>
    <w:rsid w:val="002B3B89"/>
    <w:rsid w:val="002B42B8"/>
    <w:rsid w:val="002B742A"/>
    <w:rsid w:val="002B7930"/>
    <w:rsid w:val="002C096C"/>
    <w:rsid w:val="002C3761"/>
    <w:rsid w:val="002C4344"/>
    <w:rsid w:val="002C499B"/>
    <w:rsid w:val="002C57AA"/>
    <w:rsid w:val="002C591A"/>
    <w:rsid w:val="002E256A"/>
    <w:rsid w:val="002E48C1"/>
    <w:rsid w:val="002E635B"/>
    <w:rsid w:val="002E793A"/>
    <w:rsid w:val="002F1A36"/>
    <w:rsid w:val="002F59DA"/>
    <w:rsid w:val="002F6C33"/>
    <w:rsid w:val="002F705B"/>
    <w:rsid w:val="002F75DE"/>
    <w:rsid w:val="0030168B"/>
    <w:rsid w:val="00301A1C"/>
    <w:rsid w:val="00302A14"/>
    <w:rsid w:val="00305E2F"/>
    <w:rsid w:val="00307F52"/>
    <w:rsid w:val="00312BE7"/>
    <w:rsid w:val="00313550"/>
    <w:rsid w:val="00313C3B"/>
    <w:rsid w:val="003141F1"/>
    <w:rsid w:val="00315650"/>
    <w:rsid w:val="00315C20"/>
    <w:rsid w:val="00316B1E"/>
    <w:rsid w:val="00317561"/>
    <w:rsid w:val="00317CBC"/>
    <w:rsid w:val="00320212"/>
    <w:rsid w:val="00320CB2"/>
    <w:rsid w:val="00321696"/>
    <w:rsid w:val="0032586B"/>
    <w:rsid w:val="00331B0E"/>
    <w:rsid w:val="00331D3E"/>
    <w:rsid w:val="00331FEC"/>
    <w:rsid w:val="0033206A"/>
    <w:rsid w:val="0033330E"/>
    <w:rsid w:val="00333CF5"/>
    <w:rsid w:val="00334211"/>
    <w:rsid w:val="00336D41"/>
    <w:rsid w:val="003418B7"/>
    <w:rsid w:val="00341920"/>
    <w:rsid w:val="00341EF9"/>
    <w:rsid w:val="00342035"/>
    <w:rsid w:val="003427B5"/>
    <w:rsid w:val="00344E31"/>
    <w:rsid w:val="003451B5"/>
    <w:rsid w:val="00345670"/>
    <w:rsid w:val="003508B8"/>
    <w:rsid w:val="00351C72"/>
    <w:rsid w:val="00352947"/>
    <w:rsid w:val="003529D0"/>
    <w:rsid w:val="0035449B"/>
    <w:rsid w:val="003573F9"/>
    <w:rsid w:val="00357EEB"/>
    <w:rsid w:val="00361108"/>
    <w:rsid w:val="00361B81"/>
    <w:rsid w:val="003622C2"/>
    <w:rsid w:val="00363752"/>
    <w:rsid w:val="00363D78"/>
    <w:rsid w:val="00366843"/>
    <w:rsid w:val="00370A08"/>
    <w:rsid w:val="00370EE8"/>
    <w:rsid w:val="00372140"/>
    <w:rsid w:val="0037561E"/>
    <w:rsid w:val="003765B0"/>
    <w:rsid w:val="00381405"/>
    <w:rsid w:val="003822E2"/>
    <w:rsid w:val="00382308"/>
    <w:rsid w:val="0038416E"/>
    <w:rsid w:val="003845C2"/>
    <w:rsid w:val="00384946"/>
    <w:rsid w:val="003861F8"/>
    <w:rsid w:val="00386308"/>
    <w:rsid w:val="003917DF"/>
    <w:rsid w:val="003925CF"/>
    <w:rsid w:val="00396C06"/>
    <w:rsid w:val="00396D99"/>
    <w:rsid w:val="003A01CE"/>
    <w:rsid w:val="003A1753"/>
    <w:rsid w:val="003A18DC"/>
    <w:rsid w:val="003A3B23"/>
    <w:rsid w:val="003A4BFA"/>
    <w:rsid w:val="003A4E4D"/>
    <w:rsid w:val="003A5EDE"/>
    <w:rsid w:val="003A701C"/>
    <w:rsid w:val="003A7A91"/>
    <w:rsid w:val="003B1B9A"/>
    <w:rsid w:val="003B2D7E"/>
    <w:rsid w:val="003B3497"/>
    <w:rsid w:val="003C0970"/>
    <w:rsid w:val="003C0C5F"/>
    <w:rsid w:val="003C110D"/>
    <w:rsid w:val="003C1B3B"/>
    <w:rsid w:val="003C20D0"/>
    <w:rsid w:val="003C267B"/>
    <w:rsid w:val="003C33BB"/>
    <w:rsid w:val="003C35A7"/>
    <w:rsid w:val="003C4156"/>
    <w:rsid w:val="003C5C72"/>
    <w:rsid w:val="003C5F04"/>
    <w:rsid w:val="003C6CB1"/>
    <w:rsid w:val="003D10C0"/>
    <w:rsid w:val="003D4764"/>
    <w:rsid w:val="003D6C66"/>
    <w:rsid w:val="003D733B"/>
    <w:rsid w:val="003E039A"/>
    <w:rsid w:val="003E0670"/>
    <w:rsid w:val="003E12E6"/>
    <w:rsid w:val="003E1ED8"/>
    <w:rsid w:val="003E4663"/>
    <w:rsid w:val="003E55CB"/>
    <w:rsid w:val="003E5A8F"/>
    <w:rsid w:val="003E7969"/>
    <w:rsid w:val="003E7D49"/>
    <w:rsid w:val="003F04B6"/>
    <w:rsid w:val="003F068F"/>
    <w:rsid w:val="003F0975"/>
    <w:rsid w:val="003F1C06"/>
    <w:rsid w:val="003F222E"/>
    <w:rsid w:val="003F28B1"/>
    <w:rsid w:val="003F2901"/>
    <w:rsid w:val="003F4579"/>
    <w:rsid w:val="003F72FD"/>
    <w:rsid w:val="00400489"/>
    <w:rsid w:val="004014FF"/>
    <w:rsid w:val="00406C94"/>
    <w:rsid w:val="00410221"/>
    <w:rsid w:val="004105E9"/>
    <w:rsid w:val="004112CA"/>
    <w:rsid w:val="0041449D"/>
    <w:rsid w:val="00415759"/>
    <w:rsid w:val="00416C74"/>
    <w:rsid w:val="004206E5"/>
    <w:rsid w:val="00420CE9"/>
    <w:rsid w:val="00421A67"/>
    <w:rsid w:val="00421C92"/>
    <w:rsid w:val="00422EC0"/>
    <w:rsid w:val="004272DB"/>
    <w:rsid w:val="00427FE5"/>
    <w:rsid w:val="00432580"/>
    <w:rsid w:val="0043351F"/>
    <w:rsid w:val="00441B3A"/>
    <w:rsid w:val="0044492A"/>
    <w:rsid w:val="0046045A"/>
    <w:rsid w:val="004608A3"/>
    <w:rsid w:val="00460D93"/>
    <w:rsid w:val="004626D4"/>
    <w:rsid w:val="00462B33"/>
    <w:rsid w:val="00464CE7"/>
    <w:rsid w:val="00465795"/>
    <w:rsid w:val="00466B51"/>
    <w:rsid w:val="00466F32"/>
    <w:rsid w:val="00470204"/>
    <w:rsid w:val="004722C7"/>
    <w:rsid w:val="0047248F"/>
    <w:rsid w:val="00472C61"/>
    <w:rsid w:val="00473777"/>
    <w:rsid w:val="00475131"/>
    <w:rsid w:val="004763CE"/>
    <w:rsid w:val="004779B6"/>
    <w:rsid w:val="0048114E"/>
    <w:rsid w:val="00481B65"/>
    <w:rsid w:val="00482A1C"/>
    <w:rsid w:val="00484A7C"/>
    <w:rsid w:val="00485D54"/>
    <w:rsid w:val="00486769"/>
    <w:rsid w:val="00490A6E"/>
    <w:rsid w:val="004916EF"/>
    <w:rsid w:val="004941AC"/>
    <w:rsid w:val="00494604"/>
    <w:rsid w:val="00496921"/>
    <w:rsid w:val="0049697B"/>
    <w:rsid w:val="004A0DC2"/>
    <w:rsid w:val="004A49CC"/>
    <w:rsid w:val="004B0628"/>
    <w:rsid w:val="004B3273"/>
    <w:rsid w:val="004B45A8"/>
    <w:rsid w:val="004B62B9"/>
    <w:rsid w:val="004B7331"/>
    <w:rsid w:val="004C0A88"/>
    <w:rsid w:val="004C2A1F"/>
    <w:rsid w:val="004C2BAF"/>
    <w:rsid w:val="004C50A5"/>
    <w:rsid w:val="004C6368"/>
    <w:rsid w:val="004C6875"/>
    <w:rsid w:val="004D0450"/>
    <w:rsid w:val="004D07D8"/>
    <w:rsid w:val="004D30D6"/>
    <w:rsid w:val="004D4CCA"/>
    <w:rsid w:val="004D600B"/>
    <w:rsid w:val="004D66F0"/>
    <w:rsid w:val="004D75E1"/>
    <w:rsid w:val="004D7D23"/>
    <w:rsid w:val="004E16A4"/>
    <w:rsid w:val="004E61DB"/>
    <w:rsid w:val="004F4974"/>
    <w:rsid w:val="004F5B6D"/>
    <w:rsid w:val="004F6626"/>
    <w:rsid w:val="00501146"/>
    <w:rsid w:val="0050135E"/>
    <w:rsid w:val="00502761"/>
    <w:rsid w:val="00504B60"/>
    <w:rsid w:val="0050518C"/>
    <w:rsid w:val="00505678"/>
    <w:rsid w:val="00507F01"/>
    <w:rsid w:val="00507FAE"/>
    <w:rsid w:val="005114F1"/>
    <w:rsid w:val="00512490"/>
    <w:rsid w:val="00516D2B"/>
    <w:rsid w:val="005177AB"/>
    <w:rsid w:val="00520A23"/>
    <w:rsid w:val="00521B7C"/>
    <w:rsid w:val="00521FE1"/>
    <w:rsid w:val="00526661"/>
    <w:rsid w:val="00530EDB"/>
    <w:rsid w:val="0053150C"/>
    <w:rsid w:val="00531E08"/>
    <w:rsid w:val="00534599"/>
    <w:rsid w:val="00537182"/>
    <w:rsid w:val="0054035E"/>
    <w:rsid w:val="0054051C"/>
    <w:rsid w:val="005407AA"/>
    <w:rsid w:val="00542300"/>
    <w:rsid w:val="00542310"/>
    <w:rsid w:val="00543609"/>
    <w:rsid w:val="00544782"/>
    <w:rsid w:val="0054643F"/>
    <w:rsid w:val="0054657F"/>
    <w:rsid w:val="00547499"/>
    <w:rsid w:val="005474E8"/>
    <w:rsid w:val="0055024F"/>
    <w:rsid w:val="00550595"/>
    <w:rsid w:val="0055081E"/>
    <w:rsid w:val="005532F5"/>
    <w:rsid w:val="00554A54"/>
    <w:rsid w:val="00556F24"/>
    <w:rsid w:val="0055750E"/>
    <w:rsid w:val="005600F1"/>
    <w:rsid w:val="0056220A"/>
    <w:rsid w:val="00564E69"/>
    <w:rsid w:val="005651F6"/>
    <w:rsid w:val="00567471"/>
    <w:rsid w:val="00570297"/>
    <w:rsid w:val="00574951"/>
    <w:rsid w:val="005759D6"/>
    <w:rsid w:val="00576018"/>
    <w:rsid w:val="00576988"/>
    <w:rsid w:val="0057751A"/>
    <w:rsid w:val="00580030"/>
    <w:rsid w:val="00580D4C"/>
    <w:rsid w:val="00582021"/>
    <w:rsid w:val="00582310"/>
    <w:rsid w:val="00582F24"/>
    <w:rsid w:val="00585BED"/>
    <w:rsid w:val="005862F9"/>
    <w:rsid w:val="005879D8"/>
    <w:rsid w:val="00592CE7"/>
    <w:rsid w:val="005937EB"/>
    <w:rsid w:val="00594886"/>
    <w:rsid w:val="0059500E"/>
    <w:rsid w:val="00595E5F"/>
    <w:rsid w:val="00597B45"/>
    <w:rsid w:val="005A0C86"/>
    <w:rsid w:val="005A0E42"/>
    <w:rsid w:val="005A6553"/>
    <w:rsid w:val="005A723C"/>
    <w:rsid w:val="005A7B16"/>
    <w:rsid w:val="005B0535"/>
    <w:rsid w:val="005B1648"/>
    <w:rsid w:val="005B285C"/>
    <w:rsid w:val="005B2FD4"/>
    <w:rsid w:val="005B3EA5"/>
    <w:rsid w:val="005C045B"/>
    <w:rsid w:val="005C74F8"/>
    <w:rsid w:val="005D3173"/>
    <w:rsid w:val="005D4C86"/>
    <w:rsid w:val="005D55C9"/>
    <w:rsid w:val="005D628D"/>
    <w:rsid w:val="005D6FEB"/>
    <w:rsid w:val="005D72DB"/>
    <w:rsid w:val="005E0299"/>
    <w:rsid w:val="005E0A34"/>
    <w:rsid w:val="005E258E"/>
    <w:rsid w:val="005E31F1"/>
    <w:rsid w:val="005E39F8"/>
    <w:rsid w:val="005F0EBC"/>
    <w:rsid w:val="005F10AC"/>
    <w:rsid w:val="005F4214"/>
    <w:rsid w:val="00601555"/>
    <w:rsid w:val="00601DBF"/>
    <w:rsid w:val="00602B10"/>
    <w:rsid w:val="0060388D"/>
    <w:rsid w:val="00607D69"/>
    <w:rsid w:val="00610BB5"/>
    <w:rsid w:val="00611A0A"/>
    <w:rsid w:val="0061798D"/>
    <w:rsid w:val="00620DCD"/>
    <w:rsid w:val="00622826"/>
    <w:rsid w:val="00622DD1"/>
    <w:rsid w:val="00625394"/>
    <w:rsid w:val="006258DC"/>
    <w:rsid w:val="00627E60"/>
    <w:rsid w:val="00631742"/>
    <w:rsid w:val="00633837"/>
    <w:rsid w:val="00634665"/>
    <w:rsid w:val="00640845"/>
    <w:rsid w:val="006413CC"/>
    <w:rsid w:val="00645ADF"/>
    <w:rsid w:val="006464B2"/>
    <w:rsid w:val="00647F4B"/>
    <w:rsid w:val="00650A7C"/>
    <w:rsid w:val="00650C70"/>
    <w:rsid w:val="006513E6"/>
    <w:rsid w:val="00653589"/>
    <w:rsid w:val="0065525D"/>
    <w:rsid w:val="006558DD"/>
    <w:rsid w:val="00656D6F"/>
    <w:rsid w:val="00657AF7"/>
    <w:rsid w:val="006612FE"/>
    <w:rsid w:val="00661522"/>
    <w:rsid w:val="00663F1A"/>
    <w:rsid w:val="00665831"/>
    <w:rsid w:val="00666E79"/>
    <w:rsid w:val="006721BF"/>
    <w:rsid w:val="006778A8"/>
    <w:rsid w:val="00680D65"/>
    <w:rsid w:val="00682354"/>
    <w:rsid w:val="006837AE"/>
    <w:rsid w:val="006838AF"/>
    <w:rsid w:val="00683BEC"/>
    <w:rsid w:val="00684361"/>
    <w:rsid w:val="00687442"/>
    <w:rsid w:val="00687F4C"/>
    <w:rsid w:val="00690BC9"/>
    <w:rsid w:val="00693CAB"/>
    <w:rsid w:val="00694159"/>
    <w:rsid w:val="00697F62"/>
    <w:rsid w:val="006A0C23"/>
    <w:rsid w:val="006A43BB"/>
    <w:rsid w:val="006A54F4"/>
    <w:rsid w:val="006A7228"/>
    <w:rsid w:val="006B054E"/>
    <w:rsid w:val="006B4124"/>
    <w:rsid w:val="006B4276"/>
    <w:rsid w:val="006B43DA"/>
    <w:rsid w:val="006C10CF"/>
    <w:rsid w:val="006C14CA"/>
    <w:rsid w:val="006C4E5E"/>
    <w:rsid w:val="006D3A9E"/>
    <w:rsid w:val="006D6553"/>
    <w:rsid w:val="006D69ED"/>
    <w:rsid w:val="006D7C8C"/>
    <w:rsid w:val="006E58C4"/>
    <w:rsid w:val="006F0173"/>
    <w:rsid w:val="006F06C0"/>
    <w:rsid w:val="006F3BD4"/>
    <w:rsid w:val="006F3E39"/>
    <w:rsid w:val="006F799E"/>
    <w:rsid w:val="00700F5D"/>
    <w:rsid w:val="007061FA"/>
    <w:rsid w:val="00707E00"/>
    <w:rsid w:val="00711221"/>
    <w:rsid w:val="00712452"/>
    <w:rsid w:val="00715492"/>
    <w:rsid w:val="0071589F"/>
    <w:rsid w:val="00715C4C"/>
    <w:rsid w:val="007169FF"/>
    <w:rsid w:val="00716F52"/>
    <w:rsid w:val="00720A06"/>
    <w:rsid w:val="00725E8C"/>
    <w:rsid w:val="0072696B"/>
    <w:rsid w:val="0072768D"/>
    <w:rsid w:val="00727D45"/>
    <w:rsid w:val="007304D5"/>
    <w:rsid w:val="00732CD6"/>
    <w:rsid w:val="007358B3"/>
    <w:rsid w:val="00741066"/>
    <w:rsid w:val="0074356B"/>
    <w:rsid w:val="007437D8"/>
    <w:rsid w:val="00743E25"/>
    <w:rsid w:val="007449FD"/>
    <w:rsid w:val="007473D1"/>
    <w:rsid w:val="00754298"/>
    <w:rsid w:val="007547A5"/>
    <w:rsid w:val="00760AFD"/>
    <w:rsid w:val="007615FF"/>
    <w:rsid w:val="00762447"/>
    <w:rsid w:val="00766CF0"/>
    <w:rsid w:val="00771540"/>
    <w:rsid w:val="00777A1B"/>
    <w:rsid w:val="00780281"/>
    <w:rsid w:val="0078036C"/>
    <w:rsid w:val="0078194A"/>
    <w:rsid w:val="00781B88"/>
    <w:rsid w:val="00783CA1"/>
    <w:rsid w:val="00785612"/>
    <w:rsid w:val="0078636E"/>
    <w:rsid w:val="00787504"/>
    <w:rsid w:val="00787DBB"/>
    <w:rsid w:val="00791A5C"/>
    <w:rsid w:val="00792F14"/>
    <w:rsid w:val="00795A58"/>
    <w:rsid w:val="00795F46"/>
    <w:rsid w:val="007A0D8D"/>
    <w:rsid w:val="007A5300"/>
    <w:rsid w:val="007A6550"/>
    <w:rsid w:val="007A6B77"/>
    <w:rsid w:val="007B06AC"/>
    <w:rsid w:val="007B0BA5"/>
    <w:rsid w:val="007B1DAF"/>
    <w:rsid w:val="007B2709"/>
    <w:rsid w:val="007B2759"/>
    <w:rsid w:val="007B30FD"/>
    <w:rsid w:val="007B34D0"/>
    <w:rsid w:val="007B71F9"/>
    <w:rsid w:val="007C0C1A"/>
    <w:rsid w:val="007C1D78"/>
    <w:rsid w:val="007C20F4"/>
    <w:rsid w:val="007C41D7"/>
    <w:rsid w:val="007C6325"/>
    <w:rsid w:val="007D2076"/>
    <w:rsid w:val="007D5235"/>
    <w:rsid w:val="007D72D7"/>
    <w:rsid w:val="007D7767"/>
    <w:rsid w:val="007E0173"/>
    <w:rsid w:val="007E4FE1"/>
    <w:rsid w:val="007E7A2E"/>
    <w:rsid w:val="007F20C2"/>
    <w:rsid w:val="008010E4"/>
    <w:rsid w:val="00801CB5"/>
    <w:rsid w:val="00807F74"/>
    <w:rsid w:val="00814412"/>
    <w:rsid w:val="00815944"/>
    <w:rsid w:val="00816246"/>
    <w:rsid w:val="00817AB9"/>
    <w:rsid w:val="00817BAF"/>
    <w:rsid w:val="00820079"/>
    <w:rsid w:val="00821981"/>
    <w:rsid w:val="00824FAE"/>
    <w:rsid w:val="00825285"/>
    <w:rsid w:val="0083001C"/>
    <w:rsid w:val="008309B8"/>
    <w:rsid w:val="0083291C"/>
    <w:rsid w:val="00837B99"/>
    <w:rsid w:val="00840D51"/>
    <w:rsid w:val="008427F0"/>
    <w:rsid w:val="00844147"/>
    <w:rsid w:val="00845D93"/>
    <w:rsid w:val="0084697C"/>
    <w:rsid w:val="0085424B"/>
    <w:rsid w:val="008632A4"/>
    <w:rsid w:val="0086495A"/>
    <w:rsid w:val="00865923"/>
    <w:rsid w:val="00866066"/>
    <w:rsid w:val="00866527"/>
    <w:rsid w:val="00866995"/>
    <w:rsid w:val="00867A85"/>
    <w:rsid w:val="00867CF3"/>
    <w:rsid w:val="00872A56"/>
    <w:rsid w:val="0087791F"/>
    <w:rsid w:val="0088127C"/>
    <w:rsid w:val="00881EA1"/>
    <w:rsid w:val="00882061"/>
    <w:rsid w:val="00882C17"/>
    <w:rsid w:val="00883903"/>
    <w:rsid w:val="008846E3"/>
    <w:rsid w:val="00886463"/>
    <w:rsid w:val="0088772C"/>
    <w:rsid w:val="00890410"/>
    <w:rsid w:val="00890456"/>
    <w:rsid w:val="00891C91"/>
    <w:rsid w:val="00892142"/>
    <w:rsid w:val="00892D02"/>
    <w:rsid w:val="00893C26"/>
    <w:rsid w:val="00895B3D"/>
    <w:rsid w:val="0089715A"/>
    <w:rsid w:val="008A1698"/>
    <w:rsid w:val="008A1CC3"/>
    <w:rsid w:val="008A2912"/>
    <w:rsid w:val="008A315E"/>
    <w:rsid w:val="008A583B"/>
    <w:rsid w:val="008B2645"/>
    <w:rsid w:val="008B526B"/>
    <w:rsid w:val="008B6895"/>
    <w:rsid w:val="008B7305"/>
    <w:rsid w:val="008B7AED"/>
    <w:rsid w:val="008C05D2"/>
    <w:rsid w:val="008C24E9"/>
    <w:rsid w:val="008C26E7"/>
    <w:rsid w:val="008C5DC0"/>
    <w:rsid w:val="008C6440"/>
    <w:rsid w:val="008D3E79"/>
    <w:rsid w:val="008D4225"/>
    <w:rsid w:val="008D497C"/>
    <w:rsid w:val="008D49C8"/>
    <w:rsid w:val="008D6CFE"/>
    <w:rsid w:val="008D6E05"/>
    <w:rsid w:val="008D719B"/>
    <w:rsid w:val="008D7314"/>
    <w:rsid w:val="008E0FE8"/>
    <w:rsid w:val="008E176C"/>
    <w:rsid w:val="008E3DD6"/>
    <w:rsid w:val="008E5BD4"/>
    <w:rsid w:val="008E7E61"/>
    <w:rsid w:val="008F01D0"/>
    <w:rsid w:val="008F09B9"/>
    <w:rsid w:val="008F242F"/>
    <w:rsid w:val="008F45A0"/>
    <w:rsid w:val="008F4BBA"/>
    <w:rsid w:val="00900C79"/>
    <w:rsid w:val="0090387E"/>
    <w:rsid w:val="00903CB0"/>
    <w:rsid w:val="00905288"/>
    <w:rsid w:val="00910AD3"/>
    <w:rsid w:val="00911944"/>
    <w:rsid w:val="00913403"/>
    <w:rsid w:val="009151B2"/>
    <w:rsid w:val="00916ADB"/>
    <w:rsid w:val="009171D4"/>
    <w:rsid w:val="00917EA3"/>
    <w:rsid w:val="0092016B"/>
    <w:rsid w:val="00920A29"/>
    <w:rsid w:val="0092258F"/>
    <w:rsid w:val="00924085"/>
    <w:rsid w:val="00924C65"/>
    <w:rsid w:val="00927CFF"/>
    <w:rsid w:val="009306AC"/>
    <w:rsid w:val="0093494F"/>
    <w:rsid w:val="00935297"/>
    <w:rsid w:val="00935F3A"/>
    <w:rsid w:val="00937A72"/>
    <w:rsid w:val="00941056"/>
    <w:rsid w:val="00941F5D"/>
    <w:rsid w:val="00942062"/>
    <w:rsid w:val="0094258E"/>
    <w:rsid w:val="00943ABD"/>
    <w:rsid w:val="009453F3"/>
    <w:rsid w:val="00947A9B"/>
    <w:rsid w:val="00950C22"/>
    <w:rsid w:val="00951FB4"/>
    <w:rsid w:val="00955675"/>
    <w:rsid w:val="00960486"/>
    <w:rsid w:val="00960706"/>
    <w:rsid w:val="0096106E"/>
    <w:rsid w:val="00964600"/>
    <w:rsid w:val="009656E0"/>
    <w:rsid w:val="00966DBE"/>
    <w:rsid w:val="00971F66"/>
    <w:rsid w:val="00976ED1"/>
    <w:rsid w:val="009806AC"/>
    <w:rsid w:val="00980A62"/>
    <w:rsid w:val="009832AF"/>
    <w:rsid w:val="009847C3"/>
    <w:rsid w:val="00984B76"/>
    <w:rsid w:val="0098564D"/>
    <w:rsid w:val="00993B40"/>
    <w:rsid w:val="00996CE9"/>
    <w:rsid w:val="009A0DE9"/>
    <w:rsid w:val="009A0F2F"/>
    <w:rsid w:val="009A17E5"/>
    <w:rsid w:val="009A49B9"/>
    <w:rsid w:val="009B0167"/>
    <w:rsid w:val="009B0737"/>
    <w:rsid w:val="009B1DF7"/>
    <w:rsid w:val="009B28EC"/>
    <w:rsid w:val="009B2D0E"/>
    <w:rsid w:val="009B5877"/>
    <w:rsid w:val="009C1411"/>
    <w:rsid w:val="009C4A02"/>
    <w:rsid w:val="009C5C90"/>
    <w:rsid w:val="009C789C"/>
    <w:rsid w:val="009D0232"/>
    <w:rsid w:val="009D1004"/>
    <w:rsid w:val="009D1397"/>
    <w:rsid w:val="009D1625"/>
    <w:rsid w:val="009D2424"/>
    <w:rsid w:val="009D299B"/>
    <w:rsid w:val="009D3F26"/>
    <w:rsid w:val="009D44AE"/>
    <w:rsid w:val="009D58D5"/>
    <w:rsid w:val="009E71C1"/>
    <w:rsid w:val="009F07B0"/>
    <w:rsid w:val="009F181F"/>
    <w:rsid w:val="009F22E3"/>
    <w:rsid w:val="009F250F"/>
    <w:rsid w:val="009F2FA9"/>
    <w:rsid w:val="009F319C"/>
    <w:rsid w:val="009F5198"/>
    <w:rsid w:val="009F655F"/>
    <w:rsid w:val="009F6630"/>
    <w:rsid w:val="009F70E3"/>
    <w:rsid w:val="009F77E7"/>
    <w:rsid w:val="00A00981"/>
    <w:rsid w:val="00A01B1A"/>
    <w:rsid w:val="00A01C8C"/>
    <w:rsid w:val="00A02813"/>
    <w:rsid w:val="00A031B9"/>
    <w:rsid w:val="00A0737D"/>
    <w:rsid w:val="00A07ECF"/>
    <w:rsid w:val="00A11013"/>
    <w:rsid w:val="00A15604"/>
    <w:rsid w:val="00A1762D"/>
    <w:rsid w:val="00A21F39"/>
    <w:rsid w:val="00A23606"/>
    <w:rsid w:val="00A24EC6"/>
    <w:rsid w:val="00A2729E"/>
    <w:rsid w:val="00A27F90"/>
    <w:rsid w:val="00A31AFC"/>
    <w:rsid w:val="00A34839"/>
    <w:rsid w:val="00A35540"/>
    <w:rsid w:val="00A36E22"/>
    <w:rsid w:val="00A43B76"/>
    <w:rsid w:val="00A443E7"/>
    <w:rsid w:val="00A45C12"/>
    <w:rsid w:val="00A54B15"/>
    <w:rsid w:val="00A54FFE"/>
    <w:rsid w:val="00A550B0"/>
    <w:rsid w:val="00A57605"/>
    <w:rsid w:val="00A60C13"/>
    <w:rsid w:val="00A61457"/>
    <w:rsid w:val="00A618B0"/>
    <w:rsid w:val="00A63E6E"/>
    <w:rsid w:val="00A66574"/>
    <w:rsid w:val="00A67F73"/>
    <w:rsid w:val="00A7014F"/>
    <w:rsid w:val="00A7327E"/>
    <w:rsid w:val="00A7690A"/>
    <w:rsid w:val="00A80A4C"/>
    <w:rsid w:val="00A80DA0"/>
    <w:rsid w:val="00A81032"/>
    <w:rsid w:val="00A81580"/>
    <w:rsid w:val="00A82BC2"/>
    <w:rsid w:val="00A82E15"/>
    <w:rsid w:val="00A878FC"/>
    <w:rsid w:val="00A94423"/>
    <w:rsid w:val="00A94D53"/>
    <w:rsid w:val="00A953CC"/>
    <w:rsid w:val="00A96C46"/>
    <w:rsid w:val="00A97A45"/>
    <w:rsid w:val="00AA01CC"/>
    <w:rsid w:val="00AA4D8C"/>
    <w:rsid w:val="00AA5AAE"/>
    <w:rsid w:val="00AA6261"/>
    <w:rsid w:val="00AA6422"/>
    <w:rsid w:val="00AA6570"/>
    <w:rsid w:val="00AB416E"/>
    <w:rsid w:val="00AB6C07"/>
    <w:rsid w:val="00AB7427"/>
    <w:rsid w:val="00AB79B9"/>
    <w:rsid w:val="00AC3B24"/>
    <w:rsid w:val="00AC68E8"/>
    <w:rsid w:val="00AC6CAF"/>
    <w:rsid w:val="00AC7B56"/>
    <w:rsid w:val="00AD069A"/>
    <w:rsid w:val="00AD25DE"/>
    <w:rsid w:val="00AD674C"/>
    <w:rsid w:val="00AD6A46"/>
    <w:rsid w:val="00AE372C"/>
    <w:rsid w:val="00AE49DF"/>
    <w:rsid w:val="00AE4DB8"/>
    <w:rsid w:val="00AE6A1D"/>
    <w:rsid w:val="00AE7119"/>
    <w:rsid w:val="00AF29C7"/>
    <w:rsid w:val="00AF3588"/>
    <w:rsid w:val="00AF6837"/>
    <w:rsid w:val="00B00BFF"/>
    <w:rsid w:val="00B033C9"/>
    <w:rsid w:val="00B049CF"/>
    <w:rsid w:val="00B049E5"/>
    <w:rsid w:val="00B06FEC"/>
    <w:rsid w:val="00B112A4"/>
    <w:rsid w:val="00B12622"/>
    <w:rsid w:val="00B12CD7"/>
    <w:rsid w:val="00B135EC"/>
    <w:rsid w:val="00B15C0C"/>
    <w:rsid w:val="00B162B3"/>
    <w:rsid w:val="00B172F2"/>
    <w:rsid w:val="00B23286"/>
    <w:rsid w:val="00B23DA3"/>
    <w:rsid w:val="00B24BDD"/>
    <w:rsid w:val="00B2505C"/>
    <w:rsid w:val="00B27396"/>
    <w:rsid w:val="00B27CE3"/>
    <w:rsid w:val="00B3184D"/>
    <w:rsid w:val="00B3261B"/>
    <w:rsid w:val="00B34001"/>
    <w:rsid w:val="00B34D55"/>
    <w:rsid w:val="00B41672"/>
    <w:rsid w:val="00B42E9B"/>
    <w:rsid w:val="00B44013"/>
    <w:rsid w:val="00B44E45"/>
    <w:rsid w:val="00B45938"/>
    <w:rsid w:val="00B45B76"/>
    <w:rsid w:val="00B506B9"/>
    <w:rsid w:val="00B54022"/>
    <w:rsid w:val="00B54851"/>
    <w:rsid w:val="00B56EB0"/>
    <w:rsid w:val="00B57956"/>
    <w:rsid w:val="00B61098"/>
    <w:rsid w:val="00B62099"/>
    <w:rsid w:val="00B63D21"/>
    <w:rsid w:val="00B648B5"/>
    <w:rsid w:val="00B714D2"/>
    <w:rsid w:val="00B72DB4"/>
    <w:rsid w:val="00B746BA"/>
    <w:rsid w:val="00B76840"/>
    <w:rsid w:val="00B770AE"/>
    <w:rsid w:val="00B77279"/>
    <w:rsid w:val="00B77D05"/>
    <w:rsid w:val="00B800DB"/>
    <w:rsid w:val="00B80114"/>
    <w:rsid w:val="00B8138F"/>
    <w:rsid w:val="00B815BB"/>
    <w:rsid w:val="00B8222A"/>
    <w:rsid w:val="00B85882"/>
    <w:rsid w:val="00B863BD"/>
    <w:rsid w:val="00B87112"/>
    <w:rsid w:val="00B8724C"/>
    <w:rsid w:val="00B872A4"/>
    <w:rsid w:val="00B8744A"/>
    <w:rsid w:val="00B908E8"/>
    <w:rsid w:val="00B96274"/>
    <w:rsid w:val="00BA6A27"/>
    <w:rsid w:val="00BA6E38"/>
    <w:rsid w:val="00BA7865"/>
    <w:rsid w:val="00BA7B1D"/>
    <w:rsid w:val="00BA7CCA"/>
    <w:rsid w:val="00BB3D15"/>
    <w:rsid w:val="00BB3D84"/>
    <w:rsid w:val="00BB63AE"/>
    <w:rsid w:val="00BC49D0"/>
    <w:rsid w:val="00BD0356"/>
    <w:rsid w:val="00BD0F83"/>
    <w:rsid w:val="00BE1474"/>
    <w:rsid w:val="00BE40C3"/>
    <w:rsid w:val="00BE6475"/>
    <w:rsid w:val="00BE70FC"/>
    <w:rsid w:val="00BF2D66"/>
    <w:rsid w:val="00C00B8A"/>
    <w:rsid w:val="00C01D66"/>
    <w:rsid w:val="00C0325D"/>
    <w:rsid w:val="00C07DD1"/>
    <w:rsid w:val="00C103D1"/>
    <w:rsid w:val="00C10EE1"/>
    <w:rsid w:val="00C1371E"/>
    <w:rsid w:val="00C13A80"/>
    <w:rsid w:val="00C16D94"/>
    <w:rsid w:val="00C2321B"/>
    <w:rsid w:val="00C24B59"/>
    <w:rsid w:val="00C25605"/>
    <w:rsid w:val="00C278B6"/>
    <w:rsid w:val="00C32983"/>
    <w:rsid w:val="00C34F60"/>
    <w:rsid w:val="00C35921"/>
    <w:rsid w:val="00C3724A"/>
    <w:rsid w:val="00C40D79"/>
    <w:rsid w:val="00C41E93"/>
    <w:rsid w:val="00C459B8"/>
    <w:rsid w:val="00C51523"/>
    <w:rsid w:val="00C532BB"/>
    <w:rsid w:val="00C54BB1"/>
    <w:rsid w:val="00C55DE2"/>
    <w:rsid w:val="00C60D41"/>
    <w:rsid w:val="00C62367"/>
    <w:rsid w:val="00C62940"/>
    <w:rsid w:val="00C6494C"/>
    <w:rsid w:val="00C67FEE"/>
    <w:rsid w:val="00C71169"/>
    <w:rsid w:val="00C73972"/>
    <w:rsid w:val="00C74AEA"/>
    <w:rsid w:val="00C752CA"/>
    <w:rsid w:val="00C7556C"/>
    <w:rsid w:val="00C762D9"/>
    <w:rsid w:val="00C76C2E"/>
    <w:rsid w:val="00C85395"/>
    <w:rsid w:val="00C870CC"/>
    <w:rsid w:val="00C87970"/>
    <w:rsid w:val="00C91194"/>
    <w:rsid w:val="00C91AFE"/>
    <w:rsid w:val="00C92051"/>
    <w:rsid w:val="00C921F9"/>
    <w:rsid w:val="00C9255D"/>
    <w:rsid w:val="00C93227"/>
    <w:rsid w:val="00C94303"/>
    <w:rsid w:val="00C97D00"/>
    <w:rsid w:val="00CA1F90"/>
    <w:rsid w:val="00CA3161"/>
    <w:rsid w:val="00CA38B5"/>
    <w:rsid w:val="00CA57C6"/>
    <w:rsid w:val="00CA5B75"/>
    <w:rsid w:val="00CA5F65"/>
    <w:rsid w:val="00CA650A"/>
    <w:rsid w:val="00CA7391"/>
    <w:rsid w:val="00CB0FAB"/>
    <w:rsid w:val="00CB28DF"/>
    <w:rsid w:val="00CB42EE"/>
    <w:rsid w:val="00CB6C21"/>
    <w:rsid w:val="00CC23AC"/>
    <w:rsid w:val="00CC43CB"/>
    <w:rsid w:val="00CC530B"/>
    <w:rsid w:val="00CC5481"/>
    <w:rsid w:val="00CD1453"/>
    <w:rsid w:val="00CD5DFE"/>
    <w:rsid w:val="00CD62CD"/>
    <w:rsid w:val="00CE5FE8"/>
    <w:rsid w:val="00CF2DCE"/>
    <w:rsid w:val="00CF4530"/>
    <w:rsid w:val="00CF6FB1"/>
    <w:rsid w:val="00D01C45"/>
    <w:rsid w:val="00D040A7"/>
    <w:rsid w:val="00D12046"/>
    <w:rsid w:val="00D1389F"/>
    <w:rsid w:val="00D165BC"/>
    <w:rsid w:val="00D20B71"/>
    <w:rsid w:val="00D20E1D"/>
    <w:rsid w:val="00D2199E"/>
    <w:rsid w:val="00D2228B"/>
    <w:rsid w:val="00D228FA"/>
    <w:rsid w:val="00D238CA"/>
    <w:rsid w:val="00D246AF"/>
    <w:rsid w:val="00D26E4C"/>
    <w:rsid w:val="00D26F39"/>
    <w:rsid w:val="00D33779"/>
    <w:rsid w:val="00D33B01"/>
    <w:rsid w:val="00D42E17"/>
    <w:rsid w:val="00D44D2A"/>
    <w:rsid w:val="00D453EC"/>
    <w:rsid w:val="00D47F1D"/>
    <w:rsid w:val="00D52BE9"/>
    <w:rsid w:val="00D53043"/>
    <w:rsid w:val="00D53209"/>
    <w:rsid w:val="00D5641F"/>
    <w:rsid w:val="00D64F82"/>
    <w:rsid w:val="00D64FE2"/>
    <w:rsid w:val="00D756F3"/>
    <w:rsid w:val="00D77CDD"/>
    <w:rsid w:val="00D811A7"/>
    <w:rsid w:val="00D81981"/>
    <w:rsid w:val="00D82027"/>
    <w:rsid w:val="00D8238B"/>
    <w:rsid w:val="00D8317C"/>
    <w:rsid w:val="00D8627D"/>
    <w:rsid w:val="00D902AD"/>
    <w:rsid w:val="00D9221A"/>
    <w:rsid w:val="00D92751"/>
    <w:rsid w:val="00D92AC3"/>
    <w:rsid w:val="00D945C0"/>
    <w:rsid w:val="00D954FA"/>
    <w:rsid w:val="00DA2EA7"/>
    <w:rsid w:val="00DA3A0E"/>
    <w:rsid w:val="00DA52D0"/>
    <w:rsid w:val="00DA6D87"/>
    <w:rsid w:val="00DB1044"/>
    <w:rsid w:val="00DB1690"/>
    <w:rsid w:val="00DB17BF"/>
    <w:rsid w:val="00DB20B8"/>
    <w:rsid w:val="00DB396B"/>
    <w:rsid w:val="00DB7641"/>
    <w:rsid w:val="00DB779F"/>
    <w:rsid w:val="00DB7EC5"/>
    <w:rsid w:val="00DC3C60"/>
    <w:rsid w:val="00DC575F"/>
    <w:rsid w:val="00DC68C1"/>
    <w:rsid w:val="00DC7092"/>
    <w:rsid w:val="00DC7598"/>
    <w:rsid w:val="00DC7F5C"/>
    <w:rsid w:val="00DD208B"/>
    <w:rsid w:val="00DD24EB"/>
    <w:rsid w:val="00DD4441"/>
    <w:rsid w:val="00DD6327"/>
    <w:rsid w:val="00DD77A3"/>
    <w:rsid w:val="00DE068C"/>
    <w:rsid w:val="00DE2085"/>
    <w:rsid w:val="00DE2BF3"/>
    <w:rsid w:val="00DE61A8"/>
    <w:rsid w:val="00DE7C04"/>
    <w:rsid w:val="00DF2B9C"/>
    <w:rsid w:val="00DF4E84"/>
    <w:rsid w:val="00E004C1"/>
    <w:rsid w:val="00E012D3"/>
    <w:rsid w:val="00E029DD"/>
    <w:rsid w:val="00E039FA"/>
    <w:rsid w:val="00E04976"/>
    <w:rsid w:val="00E05AD3"/>
    <w:rsid w:val="00E05D08"/>
    <w:rsid w:val="00E06C90"/>
    <w:rsid w:val="00E06F8E"/>
    <w:rsid w:val="00E109BE"/>
    <w:rsid w:val="00E11ACF"/>
    <w:rsid w:val="00E15217"/>
    <w:rsid w:val="00E20369"/>
    <w:rsid w:val="00E32D13"/>
    <w:rsid w:val="00E344ED"/>
    <w:rsid w:val="00E36039"/>
    <w:rsid w:val="00E439CD"/>
    <w:rsid w:val="00E44BC4"/>
    <w:rsid w:val="00E453A6"/>
    <w:rsid w:val="00E4604C"/>
    <w:rsid w:val="00E51304"/>
    <w:rsid w:val="00E60D6F"/>
    <w:rsid w:val="00E62A0E"/>
    <w:rsid w:val="00E632D4"/>
    <w:rsid w:val="00E642A2"/>
    <w:rsid w:val="00E7014F"/>
    <w:rsid w:val="00E72FC3"/>
    <w:rsid w:val="00E733D1"/>
    <w:rsid w:val="00E74A4B"/>
    <w:rsid w:val="00E75E0D"/>
    <w:rsid w:val="00E775CC"/>
    <w:rsid w:val="00E77E2D"/>
    <w:rsid w:val="00E82C51"/>
    <w:rsid w:val="00E83575"/>
    <w:rsid w:val="00E84C2D"/>
    <w:rsid w:val="00E87D1B"/>
    <w:rsid w:val="00E91051"/>
    <w:rsid w:val="00E92C4F"/>
    <w:rsid w:val="00E96C98"/>
    <w:rsid w:val="00EA23A9"/>
    <w:rsid w:val="00EA307B"/>
    <w:rsid w:val="00EA33D9"/>
    <w:rsid w:val="00EA35F7"/>
    <w:rsid w:val="00EA4CA3"/>
    <w:rsid w:val="00EA4F0D"/>
    <w:rsid w:val="00EA5876"/>
    <w:rsid w:val="00EA60ED"/>
    <w:rsid w:val="00EA7DF3"/>
    <w:rsid w:val="00EB0883"/>
    <w:rsid w:val="00EB1C1D"/>
    <w:rsid w:val="00EB566B"/>
    <w:rsid w:val="00EB6C12"/>
    <w:rsid w:val="00EC021B"/>
    <w:rsid w:val="00EC2507"/>
    <w:rsid w:val="00EC3320"/>
    <w:rsid w:val="00EC37EC"/>
    <w:rsid w:val="00EC5FE2"/>
    <w:rsid w:val="00EC671D"/>
    <w:rsid w:val="00EC6A16"/>
    <w:rsid w:val="00ED0665"/>
    <w:rsid w:val="00ED166C"/>
    <w:rsid w:val="00ED3BE3"/>
    <w:rsid w:val="00ED48B3"/>
    <w:rsid w:val="00ED541B"/>
    <w:rsid w:val="00ED76F9"/>
    <w:rsid w:val="00EE21E0"/>
    <w:rsid w:val="00EE2267"/>
    <w:rsid w:val="00EE3885"/>
    <w:rsid w:val="00EE3EE2"/>
    <w:rsid w:val="00EE4A76"/>
    <w:rsid w:val="00EE5D7D"/>
    <w:rsid w:val="00EE5EC4"/>
    <w:rsid w:val="00EF1DA6"/>
    <w:rsid w:val="00EF22D2"/>
    <w:rsid w:val="00EF53EB"/>
    <w:rsid w:val="00F02E86"/>
    <w:rsid w:val="00F0421E"/>
    <w:rsid w:val="00F10A6F"/>
    <w:rsid w:val="00F10FA8"/>
    <w:rsid w:val="00F13197"/>
    <w:rsid w:val="00F1379C"/>
    <w:rsid w:val="00F13E55"/>
    <w:rsid w:val="00F1588C"/>
    <w:rsid w:val="00F15B7D"/>
    <w:rsid w:val="00F15FD5"/>
    <w:rsid w:val="00F20008"/>
    <w:rsid w:val="00F306F1"/>
    <w:rsid w:val="00F32080"/>
    <w:rsid w:val="00F3279F"/>
    <w:rsid w:val="00F32E29"/>
    <w:rsid w:val="00F35D83"/>
    <w:rsid w:val="00F36D46"/>
    <w:rsid w:val="00F37717"/>
    <w:rsid w:val="00F44985"/>
    <w:rsid w:val="00F4747D"/>
    <w:rsid w:val="00F47C54"/>
    <w:rsid w:val="00F50250"/>
    <w:rsid w:val="00F50780"/>
    <w:rsid w:val="00F50D9F"/>
    <w:rsid w:val="00F51768"/>
    <w:rsid w:val="00F518A7"/>
    <w:rsid w:val="00F518BB"/>
    <w:rsid w:val="00F52829"/>
    <w:rsid w:val="00F56E68"/>
    <w:rsid w:val="00F64132"/>
    <w:rsid w:val="00F646C5"/>
    <w:rsid w:val="00F65383"/>
    <w:rsid w:val="00F65656"/>
    <w:rsid w:val="00F65E89"/>
    <w:rsid w:val="00F675BC"/>
    <w:rsid w:val="00F72DE8"/>
    <w:rsid w:val="00F76847"/>
    <w:rsid w:val="00F77611"/>
    <w:rsid w:val="00F824ED"/>
    <w:rsid w:val="00F826B0"/>
    <w:rsid w:val="00F84D21"/>
    <w:rsid w:val="00F90430"/>
    <w:rsid w:val="00F90F1C"/>
    <w:rsid w:val="00F92F4C"/>
    <w:rsid w:val="00F95726"/>
    <w:rsid w:val="00F95AC2"/>
    <w:rsid w:val="00F960E5"/>
    <w:rsid w:val="00F96BE8"/>
    <w:rsid w:val="00FA0A7A"/>
    <w:rsid w:val="00FA5529"/>
    <w:rsid w:val="00FA72C3"/>
    <w:rsid w:val="00FA73CE"/>
    <w:rsid w:val="00FB0C98"/>
    <w:rsid w:val="00FB204B"/>
    <w:rsid w:val="00FB2129"/>
    <w:rsid w:val="00FB2364"/>
    <w:rsid w:val="00FB2DB3"/>
    <w:rsid w:val="00FB2FB7"/>
    <w:rsid w:val="00FB350B"/>
    <w:rsid w:val="00FB42B2"/>
    <w:rsid w:val="00FB550F"/>
    <w:rsid w:val="00FB56BE"/>
    <w:rsid w:val="00FB7675"/>
    <w:rsid w:val="00FB7867"/>
    <w:rsid w:val="00FB7CDC"/>
    <w:rsid w:val="00FC3CC2"/>
    <w:rsid w:val="00FC63D4"/>
    <w:rsid w:val="00FC6405"/>
    <w:rsid w:val="00FC7AA4"/>
    <w:rsid w:val="00FC7CB4"/>
    <w:rsid w:val="00FD07F0"/>
    <w:rsid w:val="00FD0E1A"/>
    <w:rsid w:val="00FD25CD"/>
    <w:rsid w:val="00FD6107"/>
    <w:rsid w:val="00FD677B"/>
    <w:rsid w:val="00FD7922"/>
    <w:rsid w:val="00FE0547"/>
    <w:rsid w:val="00FE1C2B"/>
    <w:rsid w:val="00FE278C"/>
    <w:rsid w:val="00FE306D"/>
    <w:rsid w:val="00FE3C73"/>
    <w:rsid w:val="00FE6B1E"/>
    <w:rsid w:val="00FE6BBC"/>
    <w:rsid w:val="00FE7223"/>
    <w:rsid w:val="00FE7434"/>
    <w:rsid w:val="00FE7CC5"/>
    <w:rsid w:val="00FF0793"/>
    <w:rsid w:val="00FF5D55"/>
    <w:rsid w:val="00FF6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C530B"/>
    <w:pPr>
      <w:spacing w:before="100" w:beforeAutospacing="1" w:after="100" w:afterAutospacing="1"/>
    </w:pPr>
  </w:style>
  <w:style w:type="paragraph" w:styleId="BalloonText">
    <w:name w:val="Balloon Text"/>
    <w:basedOn w:val="Normal"/>
    <w:link w:val="BalloonTextChar"/>
    <w:rsid w:val="005B1648"/>
    <w:rPr>
      <w:rFonts w:ascii="Tahoma" w:hAnsi="Tahoma" w:cs="Tahoma"/>
      <w:sz w:val="16"/>
      <w:szCs w:val="16"/>
    </w:rPr>
  </w:style>
  <w:style w:type="character" w:customStyle="1" w:styleId="BalloonTextChar">
    <w:name w:val="Balloon Text Char"/>
    <w:link w:val="BalloonText"/>
    <w:rsid w:val="005B1648"/>
    <w:rPr>
      <w:rFonts w:ascii="Tahoma" w:hAnsi="Tahoma" w:cs="Tahoma"/>
      <w:sz w:val="16"/>
      <w:szCs w:val="16"/>
    </w:rPr>
  </w:style>
  <w:style w:type="character" w:styleId="CommentReference">
    <w:name w:val="annotation reference"/>
    <w:rsid w:val="00B54851"/>
    <w:rPr>
      <w:sz w:val="16"/>
      <w:szCs w:val="16"/>
    </w:rPr>
  </w:style>
  <w:style w:type="paragraph" w:styleId="CommentText">
    <w:name w:val="annotation text"/>
    <w:basedOn w:val="Normal"/>
    <w:link w:val="CommentTextChar"/>
    <w:rsid w:val="00B54851"/>
    <w:rPr>
      <w:sz w:val="20"/>
      <w:szCs w:val="20"/>
    </w:rPr>
  </w:style>
  <w:style w:type="character" w:customStyle="1" w:styleId="CommentTextChar">
    <w:name w:val="Comment Text Char"/>
    <w:basedOn w:val="DefaultParagraphFont"/>
    <w:link w:val="CommentText"/>
    <w:rsid w:val="00B54851"/>
  </w:style>
  <w:style w:type="paragraph" w:styleId="CommentSubject">
    <w:name w:val="annotation subject"/>
    <w:basedOn w:val="CommentText"/>
    <w:next w:val="CommentText"/>
    <w:link w:val="CommentSubjectChar"/>
    <w:rsid w:val="00B54851"/>
    <w:rPr>
      <w:b/>
      <w:bCs/>
    </w:rPr>
  </w:style>
  <w:style w:type="character" w:customStyle="1" w:styleId="CommentSubjectChar">
    <w:name w:val="Comment Subject Char"/>
    <w:link w:val="CommentSubject"/>
    <w:rsid w:val="00B54851"/>
    <w:rPr>
      <w:b/>
      <w:bCs/>
    </w:rPr>
  </w:style>
  <w:style w:type="paragraph" w:styleId="Revision">
    <w:name w:val="Revision"/>
    <w:hidden/>
    <w:uiPriority w:val="99"/>
    <w:semiHidden/>
    <w:rsid w:val="00174936"/>
    <w:rPr>
      <w:sz w:val="24"/>
      <w:szCs w:val="24"/>
    </w:rPr>
  </w:style>
  <w:style w:type="paragraph" w:styleId="ListParagraph">
    <w:name w:val="List Paragraph"/>
    <w:basedOn w:val="Normal"/>
    <w:uiPriority w:val="34"/>
    <w:qFormat/>
    <w:rsid w:val="00044D29"/>
    <w:pPr>
      <w:ind w:left="720"/>
    </w:pPr>
  </w:style>
  <w:style w:type="paragraph" w:styleId="FootnoteText">
    <w:name w:val="footnote text"/>
    <w:basedOn w:val="Normal"/>
    <w:link w:val="FootnoteTextChar"/>
    <w:rsid w:val="009D0232"/>
    <w:rPr>
      <w:sz w:val="20"/>
      <w:szCs w:val="20"/>
    </w:rPr>
  </w:style>
  <w:style w:type="character" w:customStyle="1" w:styleId="FootnoteTextChar">
    <w:name w:val="Footnote Text Char"/>
    <w:basedOn w:val="DefaultParagraphFont"/>
    <w:link w:val="FootnoteText"/>
    <w:rsid w:val="009D0232"/>
  </w:style>
  <w:style w:type="character" w:styleId="FootnoteReference">
    <w:name w:val="footnote reference"/>
    <w:rsid w:val="009D0232"/>
    <w:rPr>
      <w:vertAlign w:val="superscript"/>
    </w:rPr>
  </w:style>
  <w:style w:type="paragraph" w:styleId="Header">
    <w:name w:val="header"/>
    <w:basedOn w:val="Normal"/>
    <w:link w:val="HeaderChar"/>
    <w:rsid w:val="009D0232"/>
    <w:pPr>
      <w:tabs>
        <w:tab w:val="center" w:pos="4680"/>
        <w:tab w:val="right" w:pos="9360"/>
      </w:tabs>
    </w:pPr>
  </w:style>
  <w:style w:type="character" w:customStyle="1" w:styleId="HeaderChar">
    <w:name w:val="Header Char"/>
    <w:link w:val="Header"/>
    <w:rsid w:val="009D0232"/>
    <w:rPr>
      <w:sz w:val="24"/>
      <w:szCs w:val="24"/>
    </w:rPr>
  </w:style>
  <w:style w:type="paragraph" w:styleId="Footer">
    <w:name w:val="footer"/>
    <w:basedOn w:val="Normal"/>
    <w:link w:val="FooterChar"/>
    <w:uiPriority w:val="99"/>
    <w:rsid w:val="009D0232"/>
    <w:pPr>
      <w:tabs>
        <w:tab w:val="center" w:pos="4680"/>
        <w:tab w:val="right" w:pos="9360"/>
      </w:tabs>
    </w:pPr>
  </w:style>
  <w:style w:type="character" w:customStyle="1" w:styleId="FooterChar">
    <w:name w:val="Footer Char"/>
    <w:link w:val="Footer"/>
    <w:uiPriority w:val="99"/>
    <w:rsid w:val="009D0232"/>
    <w:rPr>
      <w:sz w:val="24"/>
      <w:szCs w:val="24"/>
    </w:rPr>
  </w:style>
  <w:style w:type="table" w:styleId="TableGrid">
    <w:name w:val="Table Grid"/>
    <w:basedOn w:val="TableNormal"/>
    <w:rsid w:val="00BB3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C530B"/>
    <w:pPr>
      <w:spacing w:before="100" w:beforeAutospacing="1" w:after="100" w:afterAutospacing="1"/>
    </w:pPr>
  </w:style>
  <w:style w:type="paragraph" w:styleId="BalloonText">
    <w:name w:val="Balloon Text"/>
    <w:basedOn w:val="Normal"/>
    <w:link w:val="BalloonTextChar"/>
    <w:rsid w:val="005B1648"/>
    <w:rPr>
      <w:rFonts w:ascii="Tahoma" w:hAnsi="Tahoma" w:cs="Tahoma"/>
      <w:sz w:val="16"/>
      <w:szCs w:val="16"/>
    </w:rPr>
  </w:style>
  <w:style w:type="character" w:customStyle="1" w:styleId="BalloonTextChar">
    <w:name w:val="Balloon Text Char"/>
    <w:link w:val="BalloonText"/>
    <w:rsid w:val="005B1648"/>
    <w:rPr>
      <w:rFonts w:ascii="Tahoma" w:hAnsi="Tahoma" w:cs="Tahoma"/>
      <w:sz w:val="16"/>
      <w:szCs w:val="16"/>
    </w:rPr>
  </w:style>
  <w:style w:type="character" w:styleId="CommentReference">
    <w:name w:val="annotation reference"/>
    <w:rsid w:val="00B54851"/>
    <w:rPr>
      <w:sz w:val="16"/>
      <w:szCs w:val="16"/>
    </w:rPr>
  </w:style>
  <w:style w:type="paragraph" w:styleId="CommentText">
    <w:name w:val="annotation text"/>
    <w:basedOn w:val="Normal"/>
    <w:link w:val="CommentTextChar"/>
    <w:rsid w:val="00B54851"/>
    <w:rPr>
      <w:sz w:val="20"/>
      <w:szCs w:val="20"/>
    </w:rPr>
  </w:style>
  <w:style w:type="character" w:customStyle="1" w:styleId="CommentTextChar">
    <w:name w:val="Comment Text Char"/>
    <w:basedOn w:val="DefaultParagraphFont"/>
    <w:link w:val="CommentText"/>
    <w:rsid w:val="00B54851"/>
  </w:style>
  <w:style w:type="paragraph" w:styleId="CommentSubject">
    <w:name w:val="annotation subject"/>
    <w:basedOn w:val="CommentText"/>
    <w:next w:val="CommentText"/>
    <w:link w:val="CommentSubjectChar"/>
    <w:rsid w:val="00B54851"/>
    <w:rPr>
      <w:b/>
      <w:bCs/>
    </w:rPr>
  </w:style>
  <w:style w:type="character" w:customStyle="1" w:styleId="CommentSubjectChar">
    <w:name w:val="Comment Subject Char"/>
    <w:link w:val="CommentSubject"/>
    <w:rsid w:val="00B54851"/>
    <w:rPr>
      <w:b/>
      <w:bCs/>
    </w:rPr>
  </w:style>
  <w:style w:type="paragraph" w:styleId="Revision">
    <w:name w:val="Revision"/>
    <w:hidden/>
    <w:uiPriority w:val="99"/>
    <w:semiHidden/>
    <w:rsid w:val="00174936"/>
    <w:rPr>
      <w:sz w:val="24"/>
      <w:szCs w:val="24"/>
    </w:rPr>
  </w:style>
  <w:style w:type="paragraph" w:styleId="ListParagraph">
    <w:name w:val="List Paragraph"/>
    <w:basedOn w:val="Normal"/>
    <w:uiPriority w:val="34"/>
    <w:qFormat/>
    <w:rsid w:val="00044D29"/>
    <w:pPr>
      <w:ind w:left="720"/>
    </w:pPr>
  </w:style>
  <w:style w:type="paragraph" w:styleId="FootnoteText">
    <w:name w:val="footnote text"/>
    <w:basedOn w:val="Normal"/>
    <w:link w:val="FootnoteTextChar"/>
    <w:rsid w:val="009D0232"/>
    <w:rPr>
      <w:sz w:val="20"/>
      <w:szCs w:val="20"/>
    </w:rPr>
  </w:style>
  <w:style w:type="character" w:customStyle="1" w:styleId="FootnoteTextChar">
    <w:name w:val="Footnote Text Char"/>
    <w:basedOn w:val="DefaultParagraphFont"/>
    <w:link w:val="FootnoteText"/>
    <w:rsid w:val="009D0232"/>
  </w:style>
  <w:style w:type="character" w:styleId="FootnoteReference">
    <w:name w:val="footnote reference"/>
    <w:rsid w:val="009D0232"/>
    <w:rPr>
      <w:vertAlign w:val="superscript"/>
    </w:rPr>
  </w:style>
  <w:style w:type="paragraph" w:styleId="Header">
    <w:name w:val="header"/>
    <w:basedOn w:val="Normal"/>
    <w:link w:val="HeaderChar"/>
    <w:rsid w:val="009D0232"/>
    <w:pPr>
      <w:tabs>
        <w:tab w:val="center" w:pos="4680"/>
        <w:tab w:val="right" w:pos="9360"/>
      </w:tabs>
    </w:pPr>
  </w:style>
  <w:style w:type="character" w:customStyle="1" w:styleId="HeaderChar">
    <w:name w:val="Header Char"/>
    <w:link w:val="Header"/>
    <w:rsid w:val="009D0232"/>
    <w:rPr>
      <w:sz w:val="24"/>
      <w:szCs w:val="24"/>
    </w:rPr>
  </w:style>
  <w:style w:type="paragraph" w:styleId="Footer">
    <w:name w:val="footer"/>
    <w:basedOn w:val="Normal"/>
    <w:link w:val="FooterChar"/>
    <w:uiPriority w:val="99"/>
    <w:rsid w:val="009D0232"/>
    <w:pPr>
      <w:tabs>
        <w:tab w:val="center" w:pos="4680"/>
        <w:tab w:val="right" w:pos="9360"/>
      </w:tabs>
    </w:pPr>
  </w:style>
  <w:style w:type="character" w:customStyle="1" w:styleId="FooterChar">
    <w:name w:val="Footer Char"/>
    <w:link w:val="Footer"/>
    <w:uiPriority w:val="99"/>
    <w:rsid w:val="009D0232"/>
    <w:rPr>
      <w:sz w:val="24"/>
      <w:szCs w:val="24"/>
    </w:rPr>
  </w:style>
  <w:style w:type="table" w:styleId="TableGrid">
    <w:name w:val="Table Grid"/>
    <w:basedOn w:val="TableNormal"/>
    <w:rsid w:val="00BB3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91178">
      <w:bodyDiv w:val="1"/>
      <w:marLeft w:val="0"/>
      <w:marRight w:val="0"/>
      <w:marTop w:val="0"/>
      <w:marBottom w:val="0"/>
      <w:divBdr>
        <w:top w:val="none" w:sz="0" w:space="0" w:color="auto"/>
        <w:left w:val="none" w:sz="0" w:space="0" w:color="auto"/>
        <w:bottom w:val="none" w:sz="0" w:space="0" w:color="auto"/>
        <w:right w:val="none" w:sz="0" w:space="0" w:color="auto"/>
      </w:divBdr>
    </w:div>
    <w:div w:id="168718950">
      <w:bodyDiv w:val="1"/>
      <w:marLeft w:val="0"/>
      <w:marRight w:val="0"/>
      <w:marTop w:val="0"/>
      <w:marBottom w:val="0"/>
      <w:divBdr>
        <w:top w:val="none" w:sz="0" w:space="0" w:color="auto"/>
        <w:left w:val="none" w:sz="0" w:space="0" w:color="auto"/>
        <w:bottom w:val="none" w:sz="0" w:space="0" w:color="auto"/>
        <w:right w:val="none" w:sz="0" w:space="0" w:color="auto"/>
      </w:divBdr>
    </w:div>
    <w:div w:id="746537407">
      <w:bodyDiv w:val="1"/>
      <w:marLeft w:val="0"/>
      <w:marRight w:val="0"/>
      <w:marTop w:val="0"/>
      <w:marBottom w:val="0"/>
      <w:divBdr>
        <w:top w:val="none" w:sz="0" w:space="0" w:color="auto"/>
        <w:left w:val="none" w:sz="0" w:space="0" w:color="auto"/>
        <w:bottom w:val="none" w:sz="0" w:space="0" w:color="auto"/>
        <w:right w:val="none" w:sz="0" w:space="0" w:color="auto"/>
      </w:divBdr>
      <w:divsChild>
        <w:div w:id="52117485">
          <w:marLeft w:val="0"/>
          <w:marRight w:val="0"/>
          <w:marTop w:val="0"/>
          <w:marBottom w:val="0"/>
          <w:divBdr>
            <w:top w:val="none" w:sz="0" w:space="0" w:color="auto"/>
            <w:left w:val="none" w:sz="0" w:space="0" w:color="auto"/>
            <w:bottom w:val="none" w:sz="0" w:space="0" w:color="auto"/>
            <w:right w:val="none" w:sz="0" w:space="0" w:color="auto"/>
          </w:divBdr>
        </w:div>
        <w:div w:id="146022051">
          <w:marLeft w:val="0"/>
          <w:marRight w:val="0"/>
          <w:marTop w:val="0"/>
          <w:marBottom w:val="0"/>
          <w:divBdr>
            <w:top w:val="none" w:sz="0" w:space="0" w:color="auto"/>
            <w:left w:val="none" w:sz="0" w:space="0" w:color="auto"/>
            <w:bottom w:val="none" w:sz="0" w:space="0" w:color="auto"/>
            <w:right w:val="none" w:sz="0" w:space="0" w:color="auto"/>
          </w:divBdr>
        </w:div>
        <w:div w:id="458761368">
          <w:marLeft w:val="0"/>
          <w:marRight w:val="0"/>
          <w:marTop w:val="0"/>
          <w:marBottom w:val="0"/>
          <w:divBdr>
            <w:top w:val="none" w:sz="0" w:space="0" w:color="auto"/>
            <w:left w:val="none" w:sz="0" w:space="0" w:color="auto"/>
            <w:bottom w:val="none" w:sz="0" w:space="0" w:color="auto"/>
            <w:right w:val="none" w:sz="0" w:space="0" w:color="auto"/>
          </w:divBdr>
        </w:div>
        <w:div w:id="873537923">
          <w:marLeft w:val="0"/>
          <w:marRight w:val="0"/>
          <w:marTop w:val="0"/>
          <w:marBottom w:val="0"/>
          <w:divBdr>
            <w:top w:val="none" w:sz="0" w:space="0" w:color="auto"/>
            <w:left w:val="none" w:sz="0" w:space="0" w:color="auto"/>
            <w:bottom w:val="none" w:sz="0" w:space="0" w:color="auto"/>
            <w:right w:val="none" w:sz="0" w:space="0" w:color="auto"/>
          </w:divBdr>
        </w:div>
        <w:div w:id="1624074891">
          <w:marLeft w:val="0"/>
          <w:marRight w:val="0"/>
          <w:marTop w:val="0"/>
          <w:marBottom w:val="0"/>
          <w:divBdr>
            <w:top w:val="none" w:sz="0" w:space="0" w:color="auto"/>
            <w:left w:val="none" w:sz="0" w:space="0" w:color="auto"/>
            <w:bottom w:val="none" w:sz="0" w:space="0" w:color="auto"/>
            <w:right w:val="none" w:sz="0" w:space="0" w:color="auto"/>
          </w:divBdr>
        </w:div>
        <w:div w:id="1653093451">
          <w:marLeft w:val="0"/>
          <w:marRight w:val="0"/>
          <w:marTop w:val="0"/>
          <w:marBottom w:val="0"/>
          <w:divBdr>
            <w:top w:val="none" w:sz="0" w:space="0" w:color="auto"/>
            <w:left w:val="none" w:sz="0" w:space="0" w:color="auto"/>
            <w:bottom w:val="none" w:sz="0" w:space="0" w:color="auto"/>
            <w:right w:val="none" w:sz="0" w:space="0" w:color="auto"/>
          </w:divBdr>
        </w:div>
      </w:divsChild>
    </w:div>
    <w:div w:id="155657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ADCDA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160A92DCE78B4BB430A61D24A2EF3C" ma:contentTypeVersion="3" ma:contentTypeDescription="Create a new document." ma:contentTypeScope="" ma:versionID="0b1ec27b1ad4de41dcc73bb1ddbbe75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D1840-8D60-4F8E-9D94-93721021A0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F7167B6-24E5-428B-A20A-4CF0F32EDF2D}">
  <ds:schemaRefs>
    <ds:schemaRef ds:uri="http://schemas.microsoft.com/sharepoint/v3/contenttype/forms"/>
  </ds:schemaRefs>
</ds:datastoreItem>
</file>

<file path=customXml/itemProps3.xml><?xml version="1.0" encoding="utf-8"?>
<ds:datastoreItem xmlns:ds="http://schemas.openxmlformats.org/officeDocument/2006/customXml" ds:itemID="{810BE0FA-BB02-44C4-B2AF-C95A81A0FAD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897AF93-B2C4-4CFE-A46C-C8BB30D0A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2558</Words>
  <Characters>14586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USPTO</Company>
  <LinksUpToDate>false</LinksUpToDate>
  <CharactersWithSpaces>17110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agrunberg</dc:creator>
  <cp:lastModifiedBy>USPTO</cp:lastModifiedBy>
  <cp:revision>2</cp:revision>
  <cp:lastPrinted>2013-10-01T16:47:00Z</cp:lastPrinted>
  <dcterms:created xsi:type="dcterms:W3CDTF">2015-06-24T16:14:00Z</dcterms:created>
  <dcterms:modified xsi:type="dcterms:W3CDTF">2015-06-24T16:14:00Z</dcterms:modified>
</cp:coreProperties>
</file>